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DFB8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659B90F2" wp14:editId="1C147061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06C9D" w14:textId="77777777" w:rsidR="001B3996" w:rsidRDefault="001B3996">
      <w:pPr>
        <w:rPr>
          <w:b/>
        </w:rPr>
      </w:pPr>
    </w:p>
    <w:p w14:paraId="6EC3838C" w14:textId="77777777" w:rsidR="001B3996" w:rsidRDefault="001B3996">
      <w:pPr>
        <w:rPr>
          <w:b/>
        </w:rPr>
      </w:pPr>
    </w:p>
    <w:p w14:paraId="5D9A7AC2" w14:textId="77777777" w:rsidR="001B3996" w:rsidRDefault="001B3996">
      <w:pPr>
        <w:rPr>
          <w:b/>
        </w:rPr>
      </w:pPr>
    </w:p>
    <w:p w14:paraId="0A6449B5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446C6771" w14:textId="77777777" w:rsidR="001B3996" w:rsidRDefault="001B3996" w:rsidP="00FC20EB">
      <w:pPr>
        <w:jc w:val="center"/>
        <w:rPr>
          <w:b/>
        </w:rPr>
      </w:pPr>
    </w:p>
    <w:p w14:paraId="0DC926DB" w14:textId="77777777" w:rsidR="001C5ACE" w:rsidRPr="00FC20EB" w:rsidRDefault="00884861" w:rsidP="00FC20EB">
      <w:pPr>
        <w:jc w:val="center"/>
        <w:rPr>
          <w:b/>
          <w:sz w:val="36"/>
        </w:rPr>
      </w:pPr>
      <w:r>
        <w:rPr>
          <w:b/>
          <w:sz w:val="36"/>
        </w:rPr>
        <w:t>Winthrop</w:t>
      </w:r>
      <w:r w:rsidR="00380FC6">
        <w:rPr>
          <w:b/>
          <w:sz w:val="36"/>
        </w:rPr>
        <w:t xml:space="preserve"> </w:t>
      </w:r>
      <w:r w:rsidR="001C5ACE" w:rsidRPr="00FC20EB">
        <w:rPr>
          <w:b/>
          <w:sz w:val="36"/>
        </w:rPr>
        <w:t>University</w:t>
      </w:r>
    </w:p>
    <w:p w14:paraId="78E45A00" w14:textId="77777777" w:rsidR="00FC20EB" w:rsidRDefault="00FC20EB"/>
    <w:p w14:paraId="6B5DA5E9" w14:textId="14C7B874" w:rsidR="00FC20EB" w:rsidRDefault="00FC20EB">
      <w:r>
        <w:t xml:space="preserve">In accordance with the </w:t>
      </w:r>
      <w:r w:rsidR="00686567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686567">
        <w:t xml:space="preserve"> (p. 28)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02B2DBDA" w14:textId="77777777" w:rsidR="00FC20EB" w:rsidRDefault="00FC20EB"/>
    <w:p w14:paraId="22A8E595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447C3F20" w14:textId="77777777" w:rsidR="002873DA" w:rsidRDefault="002873DA">
      <w:pPr>
        <w:rPr>
          <w:b/>
        </w:rPr>
      </w:pPr>
    </w:p>
    <w:p w14:paraId="6D8E8FBB" w14:textId="77777777" w:rsidR="00C3709B" w:rsidRDefault="00D95EA7" w:rsidP="008E2BA7">
      <w:pPr>
        <w:ind w:left="3600" w:hanging="3600"/>
      </w:pPr>
      <w:r>
        <w:t>Type of Program</w:t>
      </w:r>
      <w:r w:rsidR="008E2BA7">
        <w:t>:</w:t>
      </w:r>
      <w:r w:rsidR="008E2BA7">
        <w:tab/>
      </w:r>
      <w:r w:rsidR="001C5ACE" w:rsidRPr="002873DA">
        <w:t xml:space="preserve">Bachelor of </w:t>
      </w:r>
      <w:r w:rsidR="002526E0">
        <w:t>Science</w:t>
      </w:r>
      <w:r w:rsidR="001C5ACE" w:rsidRPr="002873DA">
        <w:t xml:space="preserve">, Sport </w:t>
      </w:r>
      <w:r w:rsidR="00AD0F12">
        <w:t>Management</w:t>
      </w:r>
    </w:p>
    <w:p w14:paraId="112CE25C" w14:textId="77777777" w:rsidR="001C5ACE" w:rsidRPr="002873DA" w:rsidRDefault="001C5ACE">
      <w:pPr>
        <w:rPr>
          <w:b/>
        </w:rPr>
      </w:pPr>
    </w:p>
    <w:p w14:paraId="01F4ACC8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22952177" w14:textId="77777777" w:rsidR="002873DA" w:rsidRDefault="002873DA"/>
    <w:p w14:paraId="4E319D89" w14:textId="77777777" w:rsidR="002873DA" w:rsidRDefault="002873DA">
      <w:r>
        <w:t>History:</w:t>
      </w:r>
      <w:r>
        <w:tab/>
      </w:r>
      <w:r>
        <w:tab/>
      </w:r>
      <w:r>
        <w:tab/>
      </w:r>
      <w:r>
        <w:tab/>
        <w:t>“Acc</w:t>
      </w:r>
      <w:r w:rsidR="006E2430">
        <w:t xml:space="preserve">redited with </w:t>
      </w:r>
      <w:r w:rsidR="002526E0">
        <w:t>Notes</w:t>
      </w:r>
      <w:r w:rsidR="006E2430">
        <w:t xml:space="preserve">” in </w:t>
      </w:r>
      <w:r w:rsidR="007E53EE">
        <w:t>May</w:t>
      </w:r>
      <w:r w:rsidR="006E2430">
        <w:t xml:space="preserve"> 2012</w:t>
      </w:r>
    </w:p>
    <w:p w14:paraId="6075704D" w14:textId="77777777" w:rsidR="002873DA" w:rsidRDefault="002873DA" w:rsidP="00CF702C"/>
    <w:p w14:paraId="14622A85" w14:textId="77777777" w:rsidR="00CF702C" w:rsidRDefault="002873DA" w:rsidP="00C7428D">
      <w:r w:rsidRPr="00C7428D">
        <w:t xml:space="preserve">The COSMA </w:t>
      </w:r>
      <w:r w:rsidR="00895AFC">
        <w:t xml:space="preserve">Board of Commissioners reviewed </w:t>
      </w:r>
      <w:r w:rsidR="002526E0">
        <w:t>Winthrop</w:t>
      </w:r>
      <w:r w:rsidR="007E53EE">
        <w:t xml:space="preserve"> University’s </w:t>
      </w:r>
      <w:r w:rsidRPr="00C7428D">
        <w:t xml:space="preserve">Bachelor of </w:t>
      </w:r>
      <w:r w:rsidR="002526E0">
        <w:t>Science</w:t>
      </w:r>
      <w:r w:rsidR="00655ECA">
        <w:t xml:space="preserve"> </w:t>
      </w:r>
      <w:r w:rsidR="00104845">
        <w:t xml:space="preserve">in </w:t>
      </w:r>
      <w:r w:rsidR="008E2BA7">
        <w:t>S</w:t>
      </w:r>
      <w:r w:rsidRPr="00C7428D">
        <w:t xml:space="preserve">port </w:t>
      </w:r>
      <w:r w:rsidR="007E53EE">
        <w:t>Management</w:t>
      </w:r>
      <w:r w:rsidR="005304DD">
        <w:t xml:space="preserve"> </w:t>
      </w:r>
      <w:r w:rsidR="007E53EE">
        <w:t>i</w:t>
      </w:r>
      <w:r w:rsidR="00655ECA">
        <w:t xml:space="preserve">n </w:t>
      </w:r>
      <w:r w:rsidR="007E53EE">
        <w:t>May</w:t>
      </w:r>
      <w:r w:rsidR="005304DD">
        <w:t xml:space="preserve"> 2012</w:t>
      </w:r>
      <w:r w:rsidRPr="00C7428D">
        <w:t xml:space="preserve">.  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and 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C7428D" w:rsidRPr="00C7428D">
        <w:t>(June 2012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1505DD0D" w14:textId="77777777" w:rsidR="00CF702C" w:rsidRDefault="00CF702C" w:rsidP="00C7428D"/>
    <w:p w14:paraId="1CFE000F" w14:textId="77777777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7E53EE">
        <w:rPr>
          <w:rFonts w:asciiTheme="minorHAnsi" w:hAnsiTheme="minorHAnsi"/>
          <w:sz w:val="24"/>
        </w:rPr>
        <w:t>May 23</w:t>
      </w:r>
      <w:r w:rsidR="007F1E30">
        <w:rPr>
          <w:rFonts w:asciiTheme="minorHAnsi" w:hAnsiTheme="minorHAnsi"/>
          <w:sz w:val="24"/>
        </w:rPr>
        <w:t>, 2012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 w:rsidR="002526E0">
        <w:rPr>
          <w:rFonts w:asciiTheme="minorHAnsi" w:hAnsiTheme="minorHAnsi"/>
          <w:sz w:val="24"/>
        </w:rPr>
        <w:t>Winthrop</w:t>
      </w:r>
      <w:r>
        <w:rPr>
          <w:rFonts w:asciiTheme="minorHAnsi" w:hAnsiTheme="minorHAnsi"/>
          <w:sz w:val="24"/>
        </w:rPr>
        <w:t xml:space="preserve"> University</w:t>
      </w:r>
      <w:r w:rsidR="007E53EE">
        <w:rPr>
          <w:rFonts w:asciiTheme="minorHAnsi" w:hAnsiTheme="minorHAnsi"/>
          <w:sz w:val="24"/>
        </w:rPr>
        <w:t xml:space="preserve"> </w:t>
      </w:r>
      <w:r w:rsidRPr="00B60A40">
        <w:rPr>
          <w:rFonts w:asciiTheme="minorHAnsi" w:hAnsiTheme="minorHAnsi"/>
          <w:sz w:val="24"/>
        </w:rPr>
        <w:t xml:space="preserve">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>program</w:t>
      </w:r>
      <w:r w:rsidR="00F16B92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</w:t>
      </w:r>
      <w:r w:rsidR="00F16B92">
        <w:rPr>
          <w:rFonts w:asciiTheme="minorHAnsi" w:hAnsiTheme="minorHAnsi"/>
          <w:sz w:val="24"/>
        </w:rPr>
        <w:t>are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gnition for a period of up to 7 years.</w:t>
      </w:r>
    </w:p>
    <w:p w14:paraId="57550C1A" w14:textId="77777777" w:rsidR="001C5ACE" w:rsidRDefault="001C5ACE"/>
    <w:p w14:paraId="74BE1450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3B1E3D38" w14:textId="77777777" w:rsidR="00CF702C" w:rsidRPr="000203BE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u w:val="single"/>
        </w:rPr>
      </w:pPr>
    </w:p>
    <w:p w14:paraId="121F6670" w14:textId="0D727448" w:rsidR="0071760A" w:rsidRPr="008630DF" w:rsidRDefault="0071760A" w:rsidP="007176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 xml:space="preserve">Winthrop University’s Bachelor of Science degree is “Accredited with Notes.”  </w:t>
      </w:r>
      <w:r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>
        <w:rPr>
          <w:rFonts w:ascii="Cambria" w:eastAsia="Times New Roman" w:hAnsi="Cambria" w:cs="Times New Roman"/>
          <w:szCs w:val="22"/>
        </w:rPr>
        <w:t>”</w:t>
      </w:r>
      <w:proofErr w:type="gramEnd"/>
      <w:r>
        <w:rPr>
          <w:rFonts w:ascii="Cambria" w:eastAsia="Times New Roman" w:hAnsi="Cambria" w:cs="Times New Roman"/>
          <w:szCs w:val="22"/>
        </w:rPr>
        <w:t xml:space="preserve"> indicates that c</w:t>
      </w:r>
      <w:r w:rsidRPr="008F3A66">
        <w:rPr>
          <w:rFonts w:ascii="Cambria" w:eastAsia="Times New Roman" w:hAnsi="Cambria" w:cs="Times New Roman"/>
          <w:szCs w:val="22"/>
        </w:rPr>
        <w:t xml:space="preserve">ertain principles </w:t>
      </w:r>
      <w:r>
        <w:rPr>
          <w:rFonts w:eastAsia="Times New Roman"/>
          <w:szCs w:val="22"/>
        </w:rPr>
        <w:t xml:space="preserve">of COSMA have not been met.  </w:t>
      </w:r>
      <w:r w:rsidRPr="008630DF">
        <w:rPr>
          <w:rFonts w:ascii="Cambria" w:eastAsia="Times New Roman" w:hAnsi="Cambria" w:cs="Times New Roman"/>
          <w:szCs w:val="22"/>
        </w:rPr>
        <w:t xml:space="preserve">The </w:t>
      </w:r>
      <w:r w:rsidR="00686567">
        <w:rPr>
          <w:rFonts w:ascii="Cambria" w:eastAsia="Times New Roman" w:hAnsi="Cambria" w:cs="Times New Roman"/>
          <w:szCs w:val="22"/>
        </w:rPr>
        <w:t>program</w:t>
      </w:r>
      <w:r>
        <w:rPr>
          <w:rFonts w:ascii="Cambria" w:eastAsia="Times New Roman" w:hAnsi="Cambria" w:cs="Times New Roman"/>
          <w:szCs w:val="22"/>
        </w:rPr>
        <w:t xml:space="preserve"> is required to address the N</w:t>
      </w:r>
      <w:r w:rsidRPr="008630DF">
        <w:rPr>
          <w:rFonts w:ascii="Cambria" w:eastAsia="Times New Roman" w:hAnsi="Cambria" w:cs="Times New Roman"/>
          <w:szCs w:val="22"/>
        </w:rPr>
        <w:t xml:space="preserve">otes </w:t>
      </w:r>
      <w:r>
        <w:rPr>
          <w:rFonts w:eastAsia="Times New Roman"/>
          <w:szCs w:val="22"/>
        </w:rPr>
        <w:t xml:space="preserve">on an annual basis </w:t>
      </w:r>
      <w:r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686567">
        <w:rPr>
          <w:rFonts w:ascii="Cambria" w:eastAsia="Times New Roman" w:hAnsi="Cambria" w:cs="Times New Roman"/>
          <w:szCs w:val="22"/>
        </w:rPr>
        <w:t>program</w:t>
      </w:r>
      <w:proofErr w:type="gramEnd"/>
      <w:r>
        <w:rPr>
          <w:rFonts w:eastAsia="Times New Roman"/>
          <w:szCs w:val="22"/>
        </w:rPr>
        <w:t xml:space="preserve"> and accepted by COSMA</w:t>
      </w:r>
      <w:r w:rsidRPr="008630DF">
        <w:rPr>
          <w:rFonts w:ascii="Cambria" w:eastAsia="Times New Roman" w:hAnsi="Cambria" w:cs="Times New Roman"/>
          <w:szCs w:val="22"/>
        </w:rPr>
        <w:t xml:space="preserve">.  The </w:t>
      </w:r>
      <w:r w:rsidR="00686567">
        <w:rPr>
          <w:rFonts w:ascii="Cambria" w:eastAsia="Times New Roman" w:hAnsi="Cambria" w:cs="Times New Roman"/>
          <w:szCs w:val="22"/>
        </w:rPr>
        <w:t>program</w:t>
      </w:r>
      <w:r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>
        <w:rPr>
          <w:rFonts w:ascii="Cambria" w:eastAsia="Times New Roman" w:hAnsi="Cambria" w:cs="Times New Roman"/>
          <w:szCs w:val="22"/>
        </w:rPr>
        <w:t>e N</w:t>
      </w:r>
      <w:r w:rsidRPr="008630DF">
        <w:rPr>
          <w:rFonts w:ascii="Cambria" w:eastAsia="Times New Roman" w:hAnsi="Cambria" w:cs="Times New Roman"/>
          <w:szCs w:val="22"/>
        </w:rPr>
        <w:t xml:space="preserve">otes.  </w:t>
      </w:r>
      <w:r>
        <w:rPr>
          <w:rFonts w:eastAsia="Times New Roman"/>
          <w:szCs w:val="22"/>
        </w:rPr>
        <w:t xml:space="preserve">If the </w:t>
      </w:r>
      <w:r w:rsidRPr="008630DF">
        <w:rPr>
          <w:rFonts w:ascii="Cambria" w:eastAsia="Times New Roman" w:hAnsi="Cambria" w:cs="Times New Roman"/>
          <w:szCs w:val="22"/>
        </w:rPr>
        <w:t>deficie</w:t>
      </w:r>
      <w:r>
        <w:rPr>
          <w:rFonts w:ascii="Cambria" w:eastAsia="Times New Roman" w:hAnsi="Cambria" w:cs="Times New Roman"/>
          <w:szCs w:val="22"/>
        </w:rPr>
        <w:t xml:space="preserve">ncies </w:t>
      </w:r>
      <w:r>
        <w:rPr>
          <w:rFonts w:eastAsia="Times New Roman"/>
          <w:szCs w:val="22"/>
        </w:rPr>
        <w:t xml:space="preserve">are not removed </w:t>
      </w:r>
      <w:r>
        <w:rPr>
          <w:rFonts w:ascii="Cambria" w:eastAsia="Times New Roman" w:hAnsi="Cambria" w:cs="Times New Roman"/>
          <w:szCs w:val="22"/>
        </w:rPr>
        <w:t>within the required three-</w:t>
      </w:r>
      <w:r w:rsidRPr="008630DF">
        <w:rPr>
          <w:rFonts w:ascii="Cambria" w:eastAsia="Times New Roman" w:hAnsi="Cambria" w:cs="Times New Roman"/>
          <w:szCs w:val="22"/>
        </w:rPr>
        <w:t>year period, the BOC may place it on probation</w:t>
      </w:r>
      <w:r>
        <w:rPr>
          <w:rFonts w:ascii="Cambria" w:eastAsia="Times New Roman" w:hAnsi="Cambria" w:cs="Times New Roman"/>
          <w:szCs w:val="22"/>
        </w:rPr>
        <w:t xml:space="preserve"> (</w:t>
      </w:r>
      <w:r w:rsidR="00686567">
        <w:rPr>
          <w:rFonts w:ascii="Cambria" w:eastAsia="Times New Roman" w:hAnsi="Cambria" w:cs="Times New Roman"/>
          <w:szCs w:val="22"/>
        </w:rPr>
        <w:t>April 2016</w:t>
      </w:r>
      <w:r>
        <w:rPr>
          <w:rFonts w:ascii="Cambria" w:eastAsia="Times New Roman" w:hAnsi="Cambria" w:cs="Times New Roman"/>
          <w:szCs w:val="22"/>
        </w:rPr>
        <w:t xml:space="preserve"> </w:t>
      </w:r>
      <w:r w:rsidRPr="00CF702C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686567">
        <w:rPr>
          <w:rFonts w:ascii="Cambria" w:eastAsia="Times New Roman" w:hAnsi="Cambria" w:cs="Times New Roman"/>
          <w:szCs w:val="22"/>
        </w:rPr>
        <w:t>, pp. 30-3</w:t>
      </w:r>
      <w:r>
        <w:rPr>
          <w:rFonts w:ascii="Cambria" w:eastAsia="Times New Roman" w:hAnsi="Cambria" w:cs="Times New Roman"/>
          <w:szCs w:val="22"/>
        </w:rPr>
        <w:t>1)</w:t>
      </w:r>
      <w:r w:rsidRPr="008630DF">
        <w:rPr>
          <w:rFonts w:ascii="Cambria" w:eastAsia="Times New Roman" w:hAnsi="Cambria" w:cs="Times New Roman"/>
          <w:szCs w:val="22"/>
        </w:rPr>
        <w:t>.</w:t>
      </w:r>
    </w:p>
    <w:p w14:paraId="59A9890A" w14:textId="77777777" w:rsidR="0071760A" w:rsidRPr="001776E5" w:rsidRDefault="0071760A" w:rsidP="0071760A">
      <w:pPr>
        <w:pStyle w:val="ListParagraph"/>
        <w:widowControl/>
        <w:suppressAutoHyphens w:val="0"/>
        <w:ind w:left="0"/>
        <w:contextualSpacing/>
        <w:rPr>
          <w:rFonts w:ascii="Cambria" w:hAnsi="Cambria"/>
          <w:b/>
          <w:bCs/>
          <w:szCs w:val="23"/>
        </w:rPr>
      </w:pPr>
      <w:r w:rsidRPr="001776E5">
        <w:rPr>
          <w:rFonts w:ascii="Cambria" w:hAnsi="Cambria"/>
          <w:b/>
          <w:bCs/>
          <w:szCs w:val="23"/>
        </w:rPr>
        <w:lastRenderedPageBreak/>
        <w:t>Principle 2:  Strategic Planning</w:t>
      </w:r>
    </w:p>
    <w:p w14:paraId="57FB20DE" w14:textId="77777777" w:rsidR="0071760A" w:rsidRPr="0071760A" w:rsidRDefault="0071760A" w:rsidP="0071760A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71760A">
        <w:rPr>
          <w:rFonts w:ascii="Cambria" w:hAnsi="Cambria"/>
          <w:b/>
          <w:bCs/>
          <w:sz w:val="24"/>
        </w:rPr>
        <w:t>Issue</w:t>
      </w:r>
      <w:r w:rsidRPr="0071760A">
        <w:rPr>
          <w:rFonts w:ascii="Cambria" w:hAnsi="Cambria"/>
          <w:bCs/>
          <w:sz w:val="24"/>
        </w:rPr>
        <w:t xml:space="preserve">:  </w:t>
      </w:r>
      <w:r w:rsidRPr="0071760A">
        <w:rPr>
          <w:rFonts w:ascii="Cambria" w:hAnsi="Cambria"/>
          <w:sz w:val="24"/>
          <w:szCs w:val="24"/>
        </w:rPr>
        <w:t xml:space="preserve">Conduct an external analysis, including key sociological, technological, economic, and political trends relevant to the environment in which the Sport Management program competes, along with </w:t>
      </w:r>
    </w:p>
    <w:p w14:paraId="5828D57D" w14:textId="77777777" w:rsidR="0071760A" w:rsidRPr="0071760A" w:rsidRDefault="0071760A" w:rsidP="0071760A">
      <w:pPr>
        <w:rPr>
          <w:rFonts w:ascii="Cambria" w:hAnsi="Cambria"/>
          <w:bCs/>
        </w:rPr>
      </w:pPr>
      <w:proofErr w:type="gramStart"/>
      <w:r w:rsidRPr="0071760A">
        <w:rPr>
          <w:rFonts w:ascii="Cambria" w:hAnsi="Cambria"/>
        </w:rPr>
        <w:t>an</w:t>
      </w:r>
      <w:proofErr w:type="gramEnd"/>
      <w:r w:rsidRPr="0071760A">
        <w:rPr>
          <w:rFonts w:ascii="Cambria" w:hAnsi="Cambria"/>
        </w:rPr>
        <w:t xml:space="preserve"> analysis of the competitive environment.</w:t>
      </w:r>
    </w:p>
    <w:p w14:paraId="31930B61" w14:textId="77777777" w:rsidR="0071760A" w:rsidRPr="0071760A" w:rsidRDefault="0071760A" w:rsidP="0071760A">
      <w:pPr>
        <w:rPr>
          <w:rFonts w:ascii="Cambria" w:hAnsi="Cambria"/>
          <w:b/>
          <w:bCs/>
        </w:rPr>
      </w:pPr>
      <w:r w:rsidRPr="0071760A">
        <w:rPr>
          <w:rFonts w:ascii="Cambria" w:hAnsi="Cambria"/>
          <w:b/>
          <w:bCs/>
        </w:rPr>
        <w:t xml:space="preserve">Note 1:  </w:t>
      </w:r>
      <w:r w:rsidRPr="0071760A">
        <w:rPr>
          <w:rFonts w:ascii="Cambria" w:hAnsi="Cambria"/>
          <w:bCs/>
        </w:rPr>
        <w:t xml:space="preserve">The intent of the external analysis is to focus on the environment in which the program exists and operates; your initial interpretation was correct, however, the information provided in the </w:t>
      </w:r>
      <w:proofErr w:type="gramStart"/>
      <w:r w:rsidRPr="0071760A">
        <w:rPr>
          <w:rFonts w:ascii="Cambria" w:hAnsi="Cambria"/>
          <w:bCs/>
        </w:rPr>
        <w:t>self study</w:t>
      </w:r>
      <w:proofErr w:type="gramEnd"/>
      <w:r w:rsidRPr="0071760A">
        <w:rPr>
          <w:rFonts w:ascii="Cambria" w:hAnsi="Cambria"/>
          <w:bCs/>
        </w:rPr>
        <w:t xml:space="preserve"> was underdeveloped.  Submit the report from the Advisory Board after it completes its investigation.</w:t>
      </w:r>
    </w:p>
    <w:p w14:paraId="71286273" w14:textId="77777777" w:rsidR="00196C32" w:rsidRDefault="00196C32" w:rsidP="0071760A">
      <w:pPr>
        <w:rPr>
          <w:rFonts w:ascii="Cambria" w:hAnsi="Cambria"/>
          <w:b/>
          <w:bCs/>
        </w:rPr>
      </w:pPr>
      <w:r w:rsidRPr="001776E5">
        <w:rPr>
          <w:rFonts w:ascii="Cambria" w:hAnsi="Cambria"/>
          <w:b/>
          <w:bCs/>
        </w:rPr>
        <w:t>Outcome:</w:t>
      </w:r>
      <w:r w:rsidR="001776E5" w:rsidRPr="001776E5">
        <w:rPr>
          <w:rFonts w:ascii="Cambria" w:hAnsi="Cambria"/>
          <w:b/>
          <w:bCs/>
        </w:rPr>
        <w:t xml:space="preserve"> Resolved.</w:t>
      </w:r>
    </w:p>
    <w:p w14:paraId="3555CA4B" w14:textId="77777777" w:rsidR="0071760A" w:rsidRPr="0071760A" w:rsidRDefault="0071760A" w:rsidP="0071760A">
      <w:pPr>
        <w:rPr>
          <w:rFonts w:ascii="Cambria" w:hAnsi="Cambria"/>
          <w:b/>
          <w:bCs/>
        </w:rPr>
      </w:pPr>
    </w:p>
    <w:p w14:paraId="373E641B" w14:textId="77777777" w:rsidR="0071760A" w:rsidRPr="0071760A" w:rsidRDefault="0071760A" w:rsidP="0071760A">
      <w:pPr>
        <w:rPr>
          <w:rFonts w:ascii="Cambria" w:hAnsi="Cambria"/>
        </w:rPr>
      </w:pPr>
      <w:r w:rsidRPr="0071760A">
        <w:rPr>
          <w:rFonts w:ascii="Cambria" w:hAnsi="Cambria"/>
          <w:b/>
          <w:bCs/>
        </w:rPr>
        <w:t xml:space="preserve">Issue:  </w:t>
      </w:r>
      <w:r w:rsidRPr="0071760A">
        <w:rPr>
          <w:rFonts w:ascii="Cambria" w:hAnsi="Cambria"/>
        </w:rPr>
        <w:t xml:space="preserve">Conduct another summary of the Sport Management program’s strengths, weaknesses, opportunities, and threats (SWOT analysis). </w:t>
      </w:r>
    </w:p>
    <w:p w14:paraId="6F9336DF" w14:textId="77777777" w:rsidR="0071760A" w:rsidRPr="0071760A" w:rsidRDefault="0071760A" w:rsidP="0071760A">
      <w:pPr>
        <w:rPr>
          <w:rFonts w:ascii="Cambria" w:hAnsi="Cambria"/>
          <w:bCs/>
        </w:rPr>
      </w:pPr>
      <w:r w:rsidRPr="0071760A">
        <w:rPr>
          <w:rFonts w:ascii="Cambria" w:hAnsi="Cambria"/>
          <w:b/>
        </w:rPr>
        <w:t>Note 2</w:t>
      </w:r>
      <w:r w:rsidRPr="0071760A">
        <w:rPr>
          <w:rFonts w:ascii="Cambria" w:hAnsi="Cambria"/>
        </w:rPr>
        <w:t xml:space="preserve">:  Conduct another SWOT analysis after the Advisory Board completes its investigation and </w:t>
      </w:r>
      <w:r w:rsidRPr="0071760A">
        <w:rPr>
          <w:rFonts w:ascii="Cambria" w:hAnsi="Cambria"/>
          <w:bCs/>
        </w:rPr>
        <w:t>submit it together with the response to Note 1.</w:t>
      </w:r>
    </w:p>
    <w:p w14:paraId="7DAD0BC2" w14:textId="77777777" w:rsidR="00196C32" w:rsidRPr="00196C32" w:rsidRDefault="00196C32" w:rsidP="0071760A">
      <w:pPr>
        <w:rPr>
          <w:rFonts w:ascii="Cambria" w:hAnsi="Cambria"/>
          <w:b/>
          <w:bCs/>
        </w:rPr>
      </w:pPr>
      <w:r w:rsidRPr="001776E5">
        <w:rPr>
          <w:rFonts w:ascii="Cambria" w:hAnsi="Cambria"/>
          <w:b/>
          <w:bCs/>
        </w:rPr>
        <w:t>Outcome:</w:t>
      </w:r>
      <w:r w:rsidR="001776E5" w:rsidRPr="001776E5">
        <w:rPr>
          <w:rFonts w:ascii="Cambria" w:hAnsi="Cambria"/>
          <w:b/>
          <w:bCs/>
        </w:rPr>
        <w:t xml:space="preserve"> Resolved.</w:t>
      </w:r>
    </w:p>
    <w:p w14:paraId="72A91054" w14:textId="77777777" w:rsidR="0071760A" w:rsidRPr="0071760A" w:rsidRDefault="0071760A" w:rsidP="0071760A">
      <w:pPr>
        <w:rPr>
          <w:rFonts w:ascii="Cambria" w:hAnsi="Cambria"/>
          <w:bCs/>
        </w:rPr>
      </w:pPr>
    </w:p>
    <w:p w14:paraId="5AE45449" w14:textId="77777777" w:rsidR="0071760A" w:rsidRPr="0071760A" w:rsidRDefault="0071760A" w:rsidP="0071760A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71760A">
        <w:rPr>
          <w:rFonts w:ascii="Cambria" w:hAnsi="Cambria"/>
          <w:b/>
          <w:bCs/>
          <w:sz w:val="24"/>
        </w:rPr>
        <w:t>Issue</w:t>
      </w:r>
      <w:r w:rsidRPr="0071760A">
        <w:rPr>
          <w:rFonts w:ascii="Cambria" w:hAnsi="Cambria"/>
          <w:bCs/>
          <w:sz w:val="24"/>
        </w:rPr>
        <w:t xml:space="preserve">:  </w:t>
      </w:r>
      <w:r w:rsidRPr="0071760A">
        <w:rPr>
          <w:rFonts w:ascii="Cambria" w:hAnsi="Cambria"/>
          <w:sz w:val="24"/>
          <w:szCs w:val="24"/>
        </w:rPr>
        <w:t>Show how the results of the external analysis and the SWOT analysis are being used to develop and improve the Sport Management program.</w:t>
      </w:r>
    </w:p>
    <w:p w14:paraId="04825269" w14:textId="77777777" w:rsidR="0071760A" w:rsidRPr="0071760A" w:rsidRDefault="0071760A" w:rsidP="0071760A">
      <w:pPr>
        <w:pStyle w:val="NormalWeb"/>
        <w:spacing w:before="2" w:after="2"/>
        <w:rPr>
          <w:rFonts w:ascii="Cambria" w:hAnsi="Cambria"/>
          <w:bCs/>
          <w:sz w:val="24"/>
        </w:rPr>
      </w:pPr>
      <w:r w:rsidRPr="0071760A">
        <w:rPr>
          <w:rFonts w:ascii="Cambria" w:hAnsi="Cambria"/>
          <w:b/>
          <w:sz w:val="24"/>
          <w:szCs w:val="24"/>
        </w:rPr>
        <w:t>Note 3</w:t>
      </w:r>
      <w:r w:rsidRPr="0071760A">
        <w:rPr>
          <w:rFonts w:ascii="Cambria" w:hAnsi="Cambria"/>
          <w:sz w:val="24"/>
          <w:szCs w:val="24"/>
        </w:rPr>
        <w:t xml:space="preserve">:  </w:t>
      </w:r>
      <w:r w:rsidRPr="0071760A">
        <w:rPr>
          <w:rFonts w:ascii="Cambria" w:hAnsi="Cambria"/>
          <w:bCs/>
          <w:sz w:val="24"/>
        </w:rPr>
        <w:t>Submit the information with your response to Notes 1 and 2.</w:t>
      </w:r>
    </w:p>
    <w:p w14:paraId="16A02A1D" w14:textId="0AB3CA68" w:rsidR="00196C32" w:rsidRPr="00196C32" w:rsidRDefault="00196C32" w:rsidP="0071760A">
      <w:pPr>
        <w:pStyle w:val="NormalWeb"/>
        <w:spacing w:before="2" w:after="2"/>
        <w:rPr>
          <w:rFonts w:ascii="Cambria" w:hAnsi="Cambria"/>
          <w:b/>
          <w:sz w:val="24"/>
          <w:szCs w:val="24"/>
        </w:rPr>
      </w:pPr>
      <w:r w:rsidRPr="001776E5">
        <w:rPr>
          <w:rFonts w:ascii="Cambria" w:hAnsi="Cambria"/>
          <w:b/>
          <w:sz w:val="24"/>
          <w:szCs w:val="24"/>
        </w:rPr>
        <w:t xml:space="preserve">Outcome: </w:t>
      </w:r>
      <w:r w:rsidR="00686567">
        <w:rPr>
          <w:rFonts w:ascii="Cambria" w:hAnsi="Cambria"/>
          <w:b/>
          <w:sz w:val="24"/>
          <w:szCs w:val="24"/>
        </w:rPr>
        <w:t>Resolved.</w:t>
      </w:r>
    </w:p>
    <w:p w14:paraId="197C5535" w14:textId="77777777" w:rsidR="0071760A" w:rsidRPr="0071760A" w:rsidRDefault="0071760A" w:rsidP="0071760A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51DD8E58" w14:textId="77777777" w:rsidR="0071760A" w:rsidRPr="001776E5" w:rsidRDefault="0071760A" w:rsidP="0071760A">
      <w:pPr>
        <w:pStyle w:val="ListParagraph"/>
        <w:widowControl/>
        <w:suppressAutoHyphens w:val="0"/>
        <w:ind w:left="0"/>
        <w:contextualSpacing/>
        <w:rPr>
          <w:rFonts w:ascii="Cambria" w:hAnsi="Cambria"/>
          <w:b/>
          <w:bCs/>
          <w:szCs w:val="23"/>
        </w:rPr>
      </w:pPr>
      <w:r w:rsidRPr="001776E5">
        <w:rPr>
          <w:rFonts w:ascii="Cambria" w:hAnsi="Cambria"/>
          <w:b/>
          <w:bCs/>
          <w:szCs w:val="23"/>
        </w:rPr>
        <w:t>Principle 5:  Scholarly and Professional Activities</w:t>
      </w:r>
    </w:p>
    <w:p w14:paraId="3BAAB9BC" w14:textId="77777777" w:rsidR="0071760A" w:rsidRPr="0071760A" w:rsidRDefault="0071760A" w:rsidP="0071760A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71760A">
        <w:rPr>
          <w:rFonts w:ascii="Cambria" w:hAnsi="Cambria"/>
          <w:b/>
          <w:bCs/>
          <w:sz w:val="24"/>
          <w:szCs w:val="23"/>
        </w:rPr>
        <w:t>Issue</w:t>
      </w:r>
      <w:r w:rsidRPr="0071760A">
        <w:rPr>
          <w:rFonts w:ascii="Cambria" w:hAnsi="Cambria"/>
          <w:bCs/>
          <w:sz w:val="24"/>
          <w:szCs w:val="23"/>
        </w:rPr>
        <w:t xml:space="preserve">:  </w:t>
      </w:r>
      <w:r w:rsidRPr="0071760A">
        <w:rPr>
          <w:rFonts w:ascii="Cambria" w:hAnsi="Cambria"/>
          <w:sz w:val="24"/>
          <w:szCs w:val="24"/>
        </w:rPr>
        <w:t>Provide adequate professional development support for faculty to actively participate in professional associations.</w:t>
      </w:r>
    </w:p>
    <w:p w14:paraId="1FA42D20" w14:textId="77777777" w:rsidR="0071760A" w:rsidRPr="0071760A" w:rsidRDefault="0071760A" w:rsidP="0071760A">
      <w:pPr>
        <w:pStyle w:val="ListParagraph"/>
        <w:widowControl/>
        <w:suppressAutoHyphens w:val="0"/>
        <w:ind w:left="0"/>
        <w:contextualSpacing/>
        <w:rPr>
          <w:rFonts w:ascii="Cambria" w:hAnsi="Cambria"/>
          <w:b/>
          <w:bCs/>
          <w:szCs w:val="23"/>
        </w:rPr>
      </w:pPr>
      <w:r w:rsidRPr="0071760A">
        <w:rPr>
          <w:rFonts w:ascii="Cambria" w:hAnsi="Cambria"/>
          <w:b/>
          <w:bCs/>
          <w:szCs w:val="23"/>
        </w:rPr>
        <w:t xml:space="preserve">Note 4:  </w:t>
      </w:r>
      <w:r w:rsidRPr="0071760A">
        <w:rPr>
          <w:rFonts w:ascii="Cambria" w:hAnsi="Cambria"/>
          <w:bCs/>
        </w:rPr>
        <w:t>Address this issue with more depth to include a report of funding sources and the proc</w:t>
      </w:r>
      <w:bookmarkStart w:id="0" w:name="_GoBack"/>
      <w:bookmarkEnd w:id="0"/>
      <w:r w:rsidRPr="0071760A">
        <w:rPr>
          <w:rFonts w:ascii="Cambria" w:hAnsi="Cambria"/>
          <w:bCs/>
        </w:rPr>
        <w:t xml:space="preserve">ess of securing funds (see page 47 in the </w:t>
      </w:r>
      <w:r w:rsidRPr="0071760A">
        <w:rPr>
          <w:rFonts w:ascii="Cambria" w:hAnsi="Cambria"/>
          <w:bCs/>
          <w:i/>
        </w:rPr>
        <w:t>COSMA Accreditation Principles and Self Study Preparation</w:t>
      </w:r>
      <w:r w:rsidRPr="0071760A">
        <w:rPr>
          <w:rFonts w:ascii="Cambria" w:hAnsi="Cambria"/>
          <w:bCs/>
        </w:rPr>
        <w:t xml:space="preserve"> document:  “</w:t>
      </w:r>
      <w:r w:rsidRPr="0071760A">
        <w:rPr>
          <w:rFonts w:ascii="Cambria" w:hAnsi="Cambria"/>
        </w:rPr>
        <w:t>Supporting evidence for scholarly and professional activities should be readily available for the site visit team to review.”).</w:t>
      </w:r>
    </w:p>
    <w:p w14:paraId="7863F791" w14:textId="77777777" w:rsidR="00196C32" w:rsidRPr="00196C32" w:rsidRDefault="00196C32">
      <w:pPr>
        <w:rPr>
          <w:rFonts w:ascii="Cambria" w:hAnsi="Cambria"/>
          <w:b/>
        </w:rPr>
      </w:pPr>
      <w:r w:rsidRPr="00196C32">
        <w:rPr>
          <w:rFonts w:ascii="Cambria" w:hAnsi="Cambria"/>
          <w:b/>
        </w:rPr>
        <w:t>Outcome:</w:t>
      </w:r>
      <w:r>
        <w:rPr>
          <w:rFonts w:ascii="Cambria" w:hAnsi="Cambria"/>
          <w:b/>
        </w:rPr>
        <w:t xml:space="preserve"> Resolved July 2013.</w:t>
      </w:r>
    </w:p>
    <w:p w14:paraId="2E1D78CD" w14:textId="77777777" w:rsidR="001C5ACE" w:rsidRPr="00427043" w:rsidRDefault="001C5ACE">
      <w:pPr>
        <w:rPr>
          <w:rFonts w:ascii="Cambria" w:hAnsi="Cambria"/>
        </w:rPr>
      </w:pPr>
    </w:p>
    <w:p w14:paraId="05FA1245" w14:textId="2F57487F" w:rsidR="002873DA" w:rsidRDefault="001C5ACE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474C8F">
        <w:rPr>
          <w:b/>
          <w:u w:val="single"/>
        </w:rPr>
        <w:t>September 2020</w:t>
      </w:r>
      <w:r w:rsidR="00212D80">
        <w:rPr>
          <w:b/>
          <w:u w:val="single"/>
        </w:rPr>
        <w:t>*</w:t>
      </w:r>
    </w:p>
    <w:p w14:paraId="3526DF75" w14:textId="3BD25841" w:rsidR="00212D80" w:rsidRPr="00212D80" w:rsidRDefault="00212D80">
      <w:r w:rsidRPr="00212D80">
        <w:t>*Accreditation is extended to September 2021 for COVID-related circumstances.</w:t>
      </w:r>
    </w:p>
    <w:sectPr w:rsidR="00212D80" w:rsidRPr="00212D80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203BE"/>
    <w:rsid w:val="000710EF"/>
    <w:rsid w:val="000E0A51"/>
    <w:rsid w:val="00104845"/>
    <w:rsid w:val="00164012"/>
    <w:rsid w:val="00175640"/>
    <w:rsid w:val="001776E5"/>
    <w:rsid w:val="00196C32"/>
    <w:rsid w:val="001B3996"/>
    <w:rsid w:val="001C5ACE"/>
    <w:rsid w:val="001F09BF"/>
    <w:rsid w:val="001F69DE"/>
    <w:rsid w:val="00212D80"/>
    <w:rsid w:val="002526E0"/>
    <w:rsid w:val="002873DA"/>
    <w:rsid w:val="00292BCB"/>
    <w:rsid w:val="00380FC6"/>
    <w:rsid w:val="003D1CAF"/>
    <w:rsid w:val="004107D6"/>
    <w:rsid w:val="00427043"/>
    <w:rsid w:val="00474C8F"/>
    <w:rsid w:val="005304DD"/>
    <w:rsid w:val="00566825"/>
    <w:rsid w:val="005749D1"/>
    <w:rsid w:val="0059621F"/>
    <w:rsid w:val="00655ECA"/>
    <w:rsid w:val="00686567"/>
    <w:rsid w:val="006C001D"/>
    <w:rsid w:val="006E2430"/>
    <w:rsid w:val="0071760A"/>
    <w:rsid w:val="007E53EE"/>
    <w:rsid w:val="007F1E30"/>
    <w:rsid w:val="00800A1F"/>
    <w:rsid w:val="0084330E"/>
    <w:rsid w:val="00843EBD"/>
    <w:rsid w:val="00854D7A"/>
    <w:rsid w:val="00884861"/>
    <w:rsid w:val="00895AFC"/>
    <w:rsid w:val="008B26DF"/>
    <w:rsid w:val="008E2BA7"/>
    <w:rsid w:val="00A124AA"/>
    <w:rsid w:val="00AA4A67"/>
    <w:rsid w:val="00AD0F12"/>
    <w:rsid w:val="00B57DE6"/>
    <w:rsid w:val="00B60A40"/>
    <w:rsid w:val="00BA74FB"/>
    <w:rsid w:val="00C3709B"/>
    <w:rsid w:val="00C7428D"/>
    <w:rsid w:val="00CC00BC"/>
    <w:rsid w:val="00CF702C"/>
    <w:rsid w:val="00D74F53"/>
    <w:rsid w:val="00D95EA7"/>
    <w:rsid w:val="00DA1CEB"/>
    <w:rsid w:val="00DA62AF"/>
    <w:rsid w:val="00DE2020"/>
    <w:rsid w:val="00F16B92"/>
    <w:rsid w:val="00F472F9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5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3</cp:revision>
  <dcterms:created xsi:type="dcterms:W3CDTF">2019-09-18T21:42:00Z</dcterms:created>
  <dcterms:modified xsi:type="dcterms:W3CDTF">2021-09-02T20:04:00Z</dcterms:modified>
</cp:coreProperties>
</file>