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8ED12" w14:textId="77777777" w:rsidR="001B3996" w:rsidRDefault="001B3996">
      <w:pPr>
        <w:rPr>
          <w:b/>
        </w:rPr>
      </w:pPr>
      <w:r>
        <w:rPr>
          <w:b/>
          <w:noProof/>
        </w:rPr>
        <w:drawing>
          <wp:anchor distT="0" distB="0" distL="114935" distR="114935" simplePos="0" relativeHeight="251658240" behindDoc="0" locked="0" layoutInCell="1" allowOverlap="1" wp14:anchorId="5F3417CA" wp14:editId="6C817DBE">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120BC18E" w14:textId="77777777" w:rsidR="001B3996" w:rsidRDefault="001B3996">
      <w:pPr>
        <w:rPr>
          <w:b/>
        </w:rPr>
      </w:pPr>
    </w:p>
    <w:p w14:paraId="680D1B5B" w14:textId="77777777" w:rsidR="001B3996" w:rsidRDefault="001B3996">
      <w:pPr>
        <w:rPr>
          <w:b/>
        </w:rPr>
      </w:pPr>
    </w:p>
    <w:p w14:paraId="59DF69CB" w14:textId="77777777" w:rsidR="001B3996" w:rsidRDefault="001B3996">
      <w:pPr>
        <w:rPr>
          <w:b/>
        </w:rPr>
      </w:pPr>
    </w:p>
    <w:p w14:paraId="6AEA74A0" w14:textId="77777777" w:rsidR="00FC20EB" w:rsidRPr="00FC20EB" w:rsidRDefault="00FC20EB" w:rsidP="00FC20EB">
      <w:pPr>
        <w:jc w:val="center"/>
        <w:rPr>
          <w:b/>
          <w:sz w:val="36"/>
        </w:rPr>
      </w:pPr>
      <w:r w:rsidRPr="00FC20EB">
        <w:rPr>
          <w:b/>
          <w:sz w:val="36"/>
        </w:rPr>
        <w:t>SUMMARY OF ACCREDITATION STATUS</w:t>
      </w:r>
    </w:p>
    <w:p w14:paraId="3F88FCD6" w14:textId="77777777" w:rsidR="001B3996" w:rsidRDefault="001B3996" w:rsidP="00FC20EB">
      <w:pPr>
        <w:jc w:val="center"/>
        <w:rPr>
          <w:b/>
        </w:rPr>
      </w:pPr>
    </w:p>
    <w:p w14:paraId="05586800" w14:textId="77777777" w:rsidR="001C5ACE" w:rsidRPr="00FC20EB" w:rsidRDefault="001C5ACE" w:rsidP="00FC20EB">
      <w:pPr>
        <w:jc w:val="center"/>
        <w:rPr>
          <w:b/>
          <w:sz w:val="36"/>
        </w:rPr>
      </w:pPr>
      <w:r w:rsidRPr="00FC20EB">
        <w:rPr>
          <w:b/>
          <w:sz w:val="36"/>
        </w:rPr>
        <w:t>University</w:t>
      </w:r>
      <w:r w:rsidR="00034136">
        <w:rPr>
          <w:b/>
          <w:sz w:val="36"/>
        </w:rPr>
        <w:t xml:space="preserve"> of Indianapolis</w:t>
      </w:r>
    </w:p>
    <w:p w14:paraId="2B9A7BB4" w14:textId="77777777" w:rsidR="00FC20EB" w:rsidRDefault="00FC20EB"/>
    <w:p w14:paraId="6088689A" w14:textId="56CD1524" w:rsidR="00FC20EB" w:rsidRDefault="00FC20EB">
      <w:r>
        <w:t xml:space="preserve">In accordance with the </w:t>
      </w:r>
      <w:r w:rsidR="00637214">
        <w:rPr>
          <w:i/>
        </w:rPr>
        <w:t>April 2016</w:t>
      </w:r>
      <w:r w:rsidRPr="00FC20EB">
        <w:rPr>
          <w:i/>
        </w:rPr>
        <w:t xml:space="preserve"> COSMA Accreditation Process Manual</w:t>
      </w:r>
      <w:r w:rsidR="00AE37F8">
        <w:t xml:space="preserve"> (p.</w:t>
      </w:r>
      <w:r w:rsidR="00637214">
        <w:t xml:space="preserve"> 28</w:t>
      </w:r>
      <w:r w:rsidR="00AE37F8">
        <w:t>)</w:t>
      </w:r>
      <w:r>
        <w:t>, this summary of accreditation status describes the formal action taken by the Commission on Sport Management Accreditation (COSMA) Board of Commissioners with regard to an academic unit/sport management program seeking accreditation for its sport management programs by COSMA.</w:t>
      </w:r>
    </w:p>
    <w:p w14:paraId="6C21CF55" w14:textId="77777777" w:rsidR="00FC20EB" w:rsidRDefault="00FC20EB"/>
    <w:p w14:paraId="681BE597"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1143B97C" w14:textId="77777777" w:rsidR="002873DA" w:rsidRDefault="002873DA">
      <w:pPr>
        <w:rPr>
          <w:b/>
        </w:rPr>
      </w:pPr>
    </w:p>
    <w:p w14:paraId="6E2F858A" w14:textId="77777777" w:rsidR="008E2BA7" w:rsidRDefault="00D95EA7" w:rsidP="008E2BA7">
      <w:pPr>
        <w:ind w:left="3600" w:hanging="3600"/>
      </w:pPr>
      <w:r>
        <w:t>Type of Program</w:t>
      </w:r>
      <w:r w:rsidR="008E2BA7">
        <w:t>s:</w:t>
      </w:r>
      <w:r w:rsidR="008E2BA7">
        <w:tab/>
      </w:r>
      <w:r w:rsidR="001C5ACE" w:rsidRPr="002873DA">
        <w:t>Bachelor of Science, Sport Management</w:t>
      </w:r>
    </w:p>
    <w:p w14:paraId="3022E184" w14:textId="77777777" w:rsidR="00012ECC" w:rsidRDefault="00723F0B" w:rsidP="008E2BA7">
      <w:pPr>
        <w:ind w:left="3600" w:hanging="3600"/>
      </w:pPr>
      <w:r>
        <w:tab/>
        <w:t>Master of Science, Sport Management</w:t>
      </w:r>
    </w:p>
    <w:p w14:paraId="45324B76" w14:textId="77777777" w:rsidR="001C5ACE" w:rsidRPr="002873DA" w:rsidRDefault="001C5ACE">
      <w:pPr>
        <w:rPr>
          <w:b/>
        </w:rPr>
      </w:pPr>
    </w:p>
    <w:p w14:paraId="3585C4C9" w14:textId="77777777" w:rsidR="002873DA" w:rsidRPr="002873DA" w:rsidRDefault="002873DA">
      <w:pPr>
        <w:rPr>
          <w:b/>
          <w:u w:val="single"/>
        </w:rPr>
      </w:pPr>
      <w:r w:rsidRPr="002873DA">
        <w:rPr>
          <w:b/>
          <w:u w:val="single"/>
        </w:rPr>
        <w:t>COSMA Accreditation Information</w:t>
      </w:r>
    </w:p>
    <w:p w14:paraId="67DB2178" w14:textId="77777777" w:rsidR="002873DA" w:rsidRDefault="002873DA"/>
    <w:p w14:paraId="5C9FD940" w14:textId="77777777" w:rsidR="002873DA" w:rsidRDefault="002873DA">
      <w:r>
        <w:t>History:</w:t>
      </w:r>
      <w:r>
        <w:tab/>
      </w:r>
      <w:r>
        <w:tab/>
      </w:r>
      <w:r>
        <w:tab/>
      </w:r>
      <w:r>
        <w:tab/>
        <w:t>“Acc</w:t>
      </w:r>
      <w:r w:rsidR="00E05CAE">
        <w:t xml:space="preserve">redited with Notes” in </w:t>
      </w:r>
      <w:r w:rsidR="00723F0B">
        <w:t>November 2013</w:t>
      </w:r>
    </w:p>
    <w:p w14:paraId="7B5E5239" w14:textId="77777777" w:rsidR="002873DA" w:rsidRDefault="002873DA" w:rsidP="00CF702C"/>
    <w:p w14:paraId="6C855D13" w14:textId="77777777" w:rsidR="00CF702C" w:rsidRDefault="002873DA" w:rsidP="00C7428D">
      <w:r w:rsidRPr="00C7428D">
        <w:t xml:space="preserve">The COSMA Board of Commissioners reviewed </w:t>
      </w:r>
      <w:r w:rsidR="002577B9">
        <w:t>the</w:t>
      </w:r>
      <w:r w:rsidRPr="00C7428D">
        <w:t xml:space="preserve"> U</w:t>
      </w:r>
      <w:r w:rsidR="00E05CAE">
        <w:t>niversity</w:t>
      </w:r>
      <w:r w:rsidR="002577B9">
        <w:t xml:space="preserve"> of Indianapolis’</w:t>
      </w:r>
      <w:r w:rsidR="00E05CAE">
        <w:t xml:space="preserve"> Bachelor of Science in </w:t>
      </w:r>
      <w:r w:rsidR="002577B9">
        <w:t>Sport Management and</w:t>
      </w:r>
      <w:r w:rsidR="00E05CAE">
        <w:t xml:space="preserve"> Master of Science in </w:t>
      </w:r>
      <w:r w:rsidR="002577B9">
        <w:t xml:space="preserve">Sport Management </w:t>
      </w:r>
      <w:r w:rsidRPr="00C7428D">
        <w:t xml:space="preserve">in </w:t>
      </w:r>
      <w:r w:rsidR="002577B9">
        <w:t>November 2013.</w:t>
      </w:r>
      <w:r w:rsidR="00E05CAE">
        <w:t xml:space="preserve"> </w:t>
      </w:r>
      <w:r w:rsidRPr="00C7428D">
        <w:t xml:space="preserve">The review was based on the </w:t>
      </w:r>
      <w:r w:rsidR="00C7428D" w:rsidRPr="00C7428D">
        <w:t>eight</w:t>
      </w:r>
      <w:r w:rsidRPr="00C7428D">
        <w:t xml:space="preserve"> </w:t>
      </w:r>
      <w:r w:rsidR="00C7428D" w:rsidRPr="00C7428D">
        <w:t>COSMA</w:t>
      </w:r>
      <w:r w:rsidRPr="00C7428D">
        <w:t xml:space="preserve"> </w:t>
      </w:r>
      <w:r w:rsidR="00C7428D" w:rsidRPr="00C7428D">
        <w:t>accreditation</w:t>
      </w:r>
      <w:r w:rsidRPr="00C7428D">
        <w:t xml:space="preserve"> </w:t>
      </w:r>
      <w:r w:rsidR="00C7428D" w:rsidRPr="00C7428D">
        <w:t>principles</w:t>
      </w:r>
      <w:r w:rsidRPr="00C7428D">
        <w:t xml:space="preserve"> that require an </w:t>
      </w:r>
      <w:r w:rsidR="00C7428D" w:rsidRPr="00C7428D">
        <w:t>academic unit/sport management program</w:t>
      </w:r>
      <w:r w:rsidRPr="00C7428D">
        <w:t xml:space="preserve"> to show that its </w:t>
      </w:r>
      <w:r w:rsidR="00C7428D" w:rsidRPr="00C7428D">
        <w:t>program</w:t>
      </w:r>
      <w:r w:rsidR="008E2BA7">
        <w:t>(s)</w:t>
      </w:r>
      <w:r w:rsidRPr="00C7428D">
        <w:t xml:space="preserve"> </w:t>
      </w:r>
      <w:r w:rsidR="00C7428D" w:rsidRPr="00C7428D">
        <w:rPr>
          <w:color w:val="000000"/>
        </w:rPr>
        <w:t xml:space="preserve">displays excellence in undergraduate and graduate sport management education and continuous improvement through </w:t>
      </w:r>
      <w:r w:rsidR="00C7428D" w:rsidRPr="00C7428D">
        <w:rPr>
          <w:rFonts w:ascii="Cambria" w:eastAsia="Cambria" w:hAnsi="Cambria" w:cs="Times New Roman"/>
          <w:color w:val="000000"/>
        </w:rPr>
        <w:t>COSMA’</w:t>
      </w:r>
      <w:r w:rsidR="00C7428D">
        <w:rPr>
          <w:color w:val="000000"/>
        </w:rPr>
        <w:t>s developmental approach</w:t>
      </w:r>
      <w:r w:rsidR="00C7428D" w:rsidRPr="00C7428D">
        <w:rPr>
          <w:color w:val="000000"/>
        </w:rPr>
        <w:t xml:space="preserve"> </w:t>
      </w:r>
      <w:r w:rsidR="00C7428D" w:rsidRPr="00C7428D">
        <w:t>(June 2012</w:t>
      </w:r>
      <w:r w:rsidRPr="00C7428D">
        <w:t xml:space="preserve"> </w:t>
      </w:r>
      <w:r w:rsidR="00C7428D" w:rsidRPr="00CF702C">
        <w:rPr>
          <w:i/>
        </w:rPr>
        <w:t>COSMA Accreditation Principles and Self Study Preparation</w:t>
      </w:r>
      <w:r w:rsidRPr="00C7428D">
        <w:t xml:space="preserve">, </w:t>
      </w:r>
      <w:r w:rsidR="00A124AA">
        <w:t>p. 1</w:t>
      </w:r>
      <w:r w:rsidR="00CF702C">
        <w:t>).</w:t>
      </w:r>
    </w:p>
    <w:p w14:paraId="53509238" w14:textId="77777777" w:rsidR="00CF702C" w:rsidRDefault="00CF702C" w:rsidP="00C7428D"/>
    <w:p w14:paraId="550652F9" w14:textId="77777777" w:rsidR="002873DA" w:rsidRPr="00CF702C" w:rsidRDefault="00CF702C" w:rsidP="00CF702C">
      <w:pPr>
        <w:pStyle w:val="NormalWeb"/>
        <w:spacing w:before="2" w:after="2"/>
        <w:rPr>
          <w:rFonts w:asciiTheme="minorHAnsi" w:hAnsiTheme="minorHAnsi"/>
          <w:sz w:val="24"/>
        </w:rPr>
      </w:pPr>
      <w:r w:rsidRPr="00B60A40">
        <w:rPr>
          <w:rFonts w:asciiTheme="minorHAnsi" w:hAnsiTheme="minorHAnsi"/>
          <w:sz w:val="24"/>
        </w:rPr>
        <w:t xml:space="preserve">On </w:t>
      </w:r>
      <w:r w:rsidR="002577B9">
        <w:rPr>
          <w:rFonts w:asciiTheme="minorHAnsi" w:hAnsiTheme="minorHAnsi"/>
          <w:sz w:val="24"/>
        </w:rPr>
        <w:t>November 16, 2013</w:t>
      </w:r>
      <w:r>
        <w:rPr>
          <w:rFonts w:asciiTheme="minorHAnsi" w:hAnsiTheme="minorHAnsi"/>
          <w:sz w:val="24"/>
        </w:rPr>
        <w:t>,</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Pr="00B60A40">
        <w:rPr>
          <w:rFonts w:asciiTheme="minorHAnsi" w:hAnsiTheme="minorHAnsi"/>
          <w:sz w:val="24"/>
        </w:rPr>
        <w:t xml:space="preserve"> determined that </w:t>
      </w:r>
      <w:r w:rsidR="002577B9">
        <w:rPr>
          <w:rFonts w:asciiTheme="minorHAnsi" w:hAnsiTheme="minorHAnsi"/>
          <w:sz w:val="24"/>
        </w:rPr>
        <w:t>the</w:t>
      </w:r>
      <w:r>
        <w:rPr>
          <w:rFonts w:asciiTheme="minorHAnsi" w:hAnsiTheme="minorHAnsi"/>
          <w:sz w:val="24"/>
        </w:rPr>
        <w:t xml:space="preserve"> University</w:t>
      </w:r>
      <w:r w:rsidRPr="00B60A40">
        <w:rPr>
          <w:rFonts w:asciiTheme="minorHAnsi" w:hAnsiTheme="minorHAnsi"/>
          <w:sz w:val="24"/>
        </w:rPr>
        <w:t xml:space="preserve"> </w:t>
      </w:r>
      <w:r w:rsidR="002577B9">
        <w:rPr>
          <w:rFonts w:asciiTheme="minorHAnsi" w:hAnsiTheme="minorHAnsi"/>
          <w:sz w:val="24"/>
        </w:rPr>
        <w:t xml:space="preserve">of Indianapolis </w:t>
      </w:r>
      <w:r w:rsidRPr="00B60A40">
        <w:rPr>
          <w:rFonts w:asciiTheme="minorHAnsi" w:hAnsiTheme="minorHAnsi"/>
          <w:sz w:val="24"/>
        </w:rPr>
        <w:t xml:space="preserve">demonstrated that it meets these </w:t>
      </w:r>
      <w:r>
        <w:rPr>
          <w:rFonts w:asciiTheme="minorHAnsi" w:hAnsiTheme="minorHAnsi"/>
          <w:sz w:val="24"/>
        </w:rPr>
        <w:t>principles</w:t>
      </w:r>
      <w:r w:rsidRPr="00B60A40">
        <w:rPr>
          <w:rFonts w:asciiTheme="minorHAnsi" w:hAnsiTheme="minorHAnsi"/>
          <w:sz w:val="24"/>
        </w:rPr>
        <w:t xml:space="preserve">, that its </w:t>
      </w:r>
      <w:r>
        <w:rPr>
          <w:rFonts w:asciiTheme="minorHAnsi" w:hAnsiTheme="minorHAnsi"/>
          <w:sz w:val="24"/>
        </w:rPr>
        <w:t>program</w:t>
      </w:r>
      <w:r w:rsidR="00F16B92">
        <w:rPr>
          <w:rFonts w:asciiTheme="minorHAnsi" w:hAnsiTheme="minorHAnsi"/>
          <w:sz w:val="24"/>
        </w:rPr>
        <w:t>s</w:t>
      </w:r>
      <w:r>
        <w:rPr>
          <w:rFonts w:asciiTheme="minorHAnsi" w:hAnsiTheme="minorHAnsi"/>
          <w:sz w:val="24"/>
        </w:rPr>
        <w:t xml:space="preserve"> </w:t>
      </w:r>
      <w:r w:rsidR="00F16B92">
        <w:rPr>
          <w:rFonts w:asciiTheme="minorHAnsi" w:hAnsiTheme="minorHAnsi"/>
          <w:sz w:val="24"/>
        </w:rPr>
        <w:t>are</w:t>
      </w:r>
      <w:r w:rsidRPr="00B60A40">
        <w:rPr>
          <w:rFonts w:asciiTheme="minorHAnsi" w:hAnsiTheme="minorHAnsi"/>
          <w:sz w:val="24"/>
        </w:rPr>
        <w:t xml:space="preserve">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gnition for a period of up to 7 years.</w:t>
      </w:r>
    </w:p>
    <w:p w14:paraId="6EA9F21F" w14:textId="77777777" w:rsidR="001C5ACE" w:rsidRDefault="001C5ACE"/>
    <w:p w14:paraId="08BA7D09" w14:textId="77777777" w:rsidR="00D95EA7"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p>
    <w:p w14:paraId="755B79CA" w14:textId="77777777" w:rsidR="00CF702C" w:rsidRPr="00CF702C"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515C2B13" w14:textId="30768AA6" w:rsidR="00DA1CEB" w:rsidRPr="008630DF" w:rsidRDefault="001C5ACE"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r>
        <w:t>Th</w:t>
      </w:r>
      <w:r w:rsidR="00CF702C">
        <w:t xml:space="preserve">e University </w:t>
      </w:r>
      <w:r w:rsidR="003E67DD">
        <w:t xml:space="preserve">of Indianapolis’ Bachelor of Science in Sport Management and Master of Science in Sport Management </w:t>
      </w:r>
      <w:r w:rsidR="00CF702C">
        <w:t>degree</w:t>
      </w:r>
      <w:r w:rsidR="00F16B92">
        <w:t>s</w:t>
      </w:r>
      <w:r w:rsidR="00CF702C">
        <w:t xml:space="preserve"> </w:t>
      </w:r>
      <w:r w:rsidR="00F16B92">
        <w:t xml:space="preserve">are </w:t>
      </w:r>
      <w:r w:rsidR="003E67DD">
        <w:t xml:space="preserve">“Accredited with Notes.” </w:t>
      </w:r>
      <w:r w:rsidR="00DA1CEB">
        <w:rPr>
          <w:rFonts w:ascii="Cambria" w:eastAsia="Times New Roman" w:hAnsi="Cambria" w:cs="Times New Roman"/>
          <w:szCs w:val="22"/>
        </w:rPr>
        <w:t>“Accredited with Notes</w:t>
      </w:r>
      <w:proofErr w:type="gramStart"/>
      <w:r w:rsidR="00DA1CEB">
        <w:rPr>
          <w:rFonts w:ascii="Cambria" w:eastAsia="Times New Roman" w:hAnsi="Cambria" w:cs="Times New Roman"/>
          <w:szCs w:val="22"/>
        </w:rPr>
        <w:t>”</w:t>
      </w:r>
      <w:proofErr w:type="gramEnd"/>
      <w:r w:rsidR="00DA1CEB">
        <w:rPr>
          <w:rFonts w:ascii="Cambria" w:eastAsia="Times New Roman" w:hAnsi="Cambria" w:cs="Times New Roman"/>
          <w:szCs w:val="22"/>
        </w:rPr>
        <w:t xml:space="preserve"> indicates that c</w:t>
      </w:r>
      <w:r w:rsidR="00DA1CEB" w:rsidRPr="008F3A66">
        <w:rPr>
          <w:rFonts w:ascii="Cambria" w:eastAsia="Times New Roman" w:hAnsi="Cambria" w:cs="Times New Roman"/>
          <w:szCs w:val="22"/>
        </w:rPr>
        <w:t xml:space="preserve">ertain principles </w:t>
      </w:r>
      <w:r w:rsidR="003E67DD">
        <w:rPr>
          <w:rFonts w:eastAsia="Times New Roman"/>
          <w:szCs w:val="22"/>
        </w:rPr>
        <w:t xml:space="preserve">of COSMA have not been met. </w:t>
      </w:r>
      <w:r w:rsidR="00DA1CEB" w:rsidRPr="008630DF">
        <w:rPr>
          <w:rFonts w:ascii="Cambria" w:eastAsia="Times New Roman" w:hAnsi="Cambria" w:cs="Times New Roman"/>
          <w:szCs w:val="22"/>
        </w:rPr>
        <w:t xml:space="preserve">The </w:t>
      </w:r>
      <w:r w:rsidR="00637214">
        <w:rPr>
          <w:rFonts w:ascii="Cambria" w:eastAsia="Times New Roman" w:hAnsi="Cambria" w:cs="Times New Roman"/>
          <w:szCs w:val="22"/>
        </w:rPr>
        <w:t>program</w:t>
      </w:r>
      <w:r w:rsidR="00DA1CEB">
        <w:rPr>
          <w:rFonts w:ascii="Cambria" w:eastAsia="Times New Roman" w:hAnsi="Cambria" w:cs="Times New Roman"/>
          <w:szCs w:val="22"/>
        </w:rPr>
        <w:t xml:space="preserve"> is required to address the N</w:t>
      </w:r>
      <w:r w:rsidR="00DA1CEB" w:rsidRPr="008630DF">
        <w:rPr>
          <w:rFonts w:ascii="Cambria" w:eastAsia="Times New Roman" w:hAnsi="Cambria" w:cs="Times New Roman"/>
          <w:szCs w:val="22"/>
        </w:rPr>
        <w:t xml:space="preserve">otes </w:t>
      </w:r>
      <w:r w:rsidR="00DA1CEB">
        <w:rPr>
          <w:rFonts w:eastAsia="Times New Roman"/>
          <w:szCs w:val="22"/>
        </w:rPr>
        <w:t xml:space="preserve">on an annual basis </w:t>
      </w:r>
      <w:r w:rsidR="00DA1CEB" w:rsidRPr="008630DF">
        <w:rPr>
          <w:rFonts w:ascii="Cambria" w:eastAsia="Times New Roman" w:hAnsi="Cambria" w:cs="Times New Roman"/>
          <w:szCs w:val="22"/>
        </w:rPr>
        <w:t xml:space="preserve">until </w:t>
      </w:r>
      <w:proofErr w:type="gramStart"/>
      <w:r w:rsidR="00DA1CEB" w:rsidRPr="008630DF">
        <w:rPr>
          <w:rFonts w:ascii="Cambria" w:eastAsia="Times New Roman" w:hAnsi="Cambria" w:cs="Times New Roman"/>
          <w:szCs w:val="22"/>
        </w:rPr>
        <w:t xml:space="preserve">those concerns are dealt with by the </w:t>
      </w:r>
      <w:r w:rsidR="00637214">
        <w:rPr>
          <w:rFonts w:ascii="Cambria" w:eastAsia="Times New Roman" w:hAnsi="Cambria" w:cs="Times New Roman"/>
          <w:szCs w:val="22"/>
        </w:rPr>
        <w:t>program</w:t>
      </w:r>
      <w:proofErr w:type="gramEnd"/>
      <w:r w:rsidR="00DA1CEB">
        <w:rPr>
          <w:rFonts w:eastAsia="Times New Roman"/>
          <w:szCs w:val="22"/>
        </w:rPr>
        <w:t xml:space="preserve"> and accepted by COSMA</w:t>
      </w:r>
      <w:r w:rsidR="003E67DD">
        <w:rPr>
          <w:rFonts w:ascii="Cambria" w:eastAsia="Times New Roman" w:hAnsi="Cambria" w:cs="Times New Roman"/>
          <w:szCs w:val="22"/>
        </w:rPr>
        <w:t xml:space="preserve">. </w:t>
      </w:r>
      <w:r w:rsidR="00DA1CEB" w:rsidRPr="008630DF">
        <w:rPr>
          <w:rFonts w:ascii="Cambria" w:eastAsia="Times New Roman" w:hAnsi="Cambria" w:cs="Times New Roman"/>
          <w:szCs w:val="22"/>
        </w:rPr>
        <w:t xml:space="preserve">The </w:t>
      </w:r>
      <w:r w:rsidR="00637214">
        <w:rPr>
          <w:rFonts w:ascii="Cambria" w:eastAsia="Times New Roman" w:hAnsi="Cambria" w:cs="Times New Roman"/>
          <w:szCs w:val="22"/>
        </w:rPr>
        <w:t>program</w:t>
      </w:r>
      <w:r w:rsidR="00DA1CEB" w:rsidRPr="008630DF">
        <w:rPr>
          <w:rFonts w:ascii="Cambria" w:eastAsia="Times New Roman" w:hAnsi="Cambria" w:cs="Times New Roman"/>
          <w:szCs w:val="22"/>
        </w:rPr>
        <w:t xml:space="preserve"> has up to three </w:t>
      </w:r>
      <w:r w:rsidR="00DA1CEB" w:rsidRPr="008630DF">
        <w:rPr>
          <w:rFonts w:ascii="Cambria" w:eastAsia="Times New Roman" w:hAnsi="Cambria" w:cs="Times New Roman"/>
          <w:szCs w:val="22"/>
        </w:rPr>
        <w:lastRenderedPageBreak/>
        <w:t>years to eliminate the deficiencies identified in th</w:t>
      </w:r>
      <w:r w:rsidR="00DA1CEB">
        <w:rPr>
          <w:rFonts w:ascii="Cambria" w:eastAsia="Times New Roman" w:hAnsi="Cambria" w:cs="Times New Roman"/>
          <w:szCs w:val="22"/>
        </w:rPr>
        <w:t>e N</w:t>
      </w:r>
      <w:r w:rsidR="00DA1CEB" w:rsidRPr="008630DF">
        <w:rPr>
          <w:rFonts w:ascii="Cambria" w:eastAsia="Times New Roman" w:hAnsi="Cambria" w:cs="Times New Roman"/>
          <w:szCs w:val="22"/>
        </w:rPr>
        <w:t xml:space="preserve">otes. </w:t>
      </w:r>
      <w:r w:rsidR="00DA1CEB">
        <w:rPr>
          <w:rFonts w:eastAsia="Times New Roman"/>
          <w:szCs w:val="22"/>
        </w:rPr>
        <w:t xml:space="preserve">If the </w:t>
      </w:r>
      <w:r w:rsidR="00DA1CEB" w:rsidRPr="008630DF">
        <w:rPr>
          <w:rFonts w:ascii="Cambria" w:eastAsia="Times New Roman" w:hAnsi="Cambria" w:cs="Times New Roman"/>
          <w:szCs w:val="22"/>
        </w:rPr>
        <w:t>deficie</w:t>
      </w:r>
      <w:r w:rsidR="00DA1CEB">
        <w:rPr>
          <w:rFonts w:ascii="Cambria" w:eastAsia="Times New Roman" w:hAnsi="Cambria" w:cs="Times New Roman"/>
          <w:szCs w:val="22"/>
        </w:rPr>
        <w:t xml:space="preserve">ncies </w:t>
      </w:r>
      <w:r w:rsidR="00DA1CEB">
        <w:rPr>
          <w:rFonts w:eastAsia="Times New Roman"/>
          <w:szCs w:val="22"/>
        </w:rPr>
        <w:t xml:space="preserve">are not removed </w:t>
      </w:r>
      <w:r w:rsidR="00DA1CEB">
        <w:rPr>
          <w:rFonts w:ascii="Cambria" w:eastAsia="Times New Roman" w:hAnsi="Cambria" w:cs="Times New Roman"/>
          <w:szCs w:val="22"/>
        </w:rPr>
        <w:t>within the required three-</w:t>
      </w:r>
      <w:r w:rsidR="00DA1CEB" w:rsidRPr="008630DF">
        <w:rPr>
          <w:rFonts w:ascii="Cambria" w:eastAsia="Times New Roman" w:hAnsi="Cambria" w:cs="Times New Roman"/>
          <w:szCs w:val="22"/>
        </w:rPr>
        <w:t>year period, the BOC may place it on probation</w:t>
      </w:r>
      <w:r w:rsidR="00CF702C">
        <w:rPr>
          <w:rFonts w:ascii="Cambria" w:eastAsia="Times New Roman" w:hAnsi="Cambria" w:cs="Times New Roman"/>
          <w:szCs w:val="22"/>
        </w:rPr>
        <w:t xml:space="preserve"> (</w:t>
      </w:r>
      <w:r w:rsidR="00637214">
        <w:rPr>
          <w:rFonts w:ascii="Cambria" w:eastAsia="Times New Roman" w:hAnsi="Cambria" w:cs="Times New Roman"/>
          <w:szCs w:val="22"/>
        </w:rPr>
        <w:t>April 2016</w:t>
      </w:r>
      <w:r w:rsidR="00CF702C">
        <w:rPr>
          <w:rFonts w:ascii="Cambria" w:eastAsia="Times New Roman" w:hAnsi="Cambria" w:cs="Times New Roman"/>
          <w:szCs w:val="22"/>
        </w:rPr>
        <w:t xml:space="preserve"> </w:t>
      </w:r>
      <w:r w:rsidR="00CF702C" w:rsidRPr="00CF702C">
        <w:rPr>
          <w:rFonts w:ascii="Cambria" w:eastAsia="Times New Roman" w:hAnsi="Cambria" w:cs="Times New Roman"/>
          <w:i/>
          <w:szCs w:val="22"/>
        </w:rPr>
        <w:t>COSMA Accreditation Process Manual</w:t>
      </w:r>
      <w:r w:rsidR="00637214">
        <w:rPr>
          <w:rFonts w:ascii="Cambria" w:eastAsia="Times New Roman" w:hAnsi="Cambria" w:cs="Times New Roman"/>
          <w:szCs w:val="22"/>
        </w:rPr>
        <w:t>, pp. 30-3</w:t>
      </w:r>
      <w:r w:rsidR="00CF702C">
        <w:rPr>
          <w:rFonts w:ascii="Cambria" w:eastAsia="Times New Roman" w:hAnsi="Cambria" w:cs="Times New Roman"/>
          <w:szCs w:val="22"/>
        </w:rPr>
        <w:t>1)</w:t>
      </w:r>
      <w:r w:rsidR="00DA1CEB" w:rsidRPr="008630DF">
        <w:rPr>
          <w:rFonts w:ascii="Cambria" w:eastAsia="Times New Roman" w:hAnsi="Cambria" w:cs="Times New Roman"/>
          <w:szCs w:val="22"/>
        </w:rPr>
        <w:t>.</w:t>
      </w:r>
    </w:p>
    <w:p w14:paraId="57ED58EF" w14:textId="77777777" w:rsidR="000062B6" w:rsidRDefault="000062B6">
      <w:pPr>
        <w:rPr>
          <w:rFonts w:eastAsia="Times New Roman"/>
          <w:szCs w:val="22"/>
        </w:rPr>
      </w:pPr>
    </w:p>
    <w:p w14:paraId="4779AB48" w14:textId="77777777" w:rsidR="00DA1CEB" w:rsidRPr="003E67DD" w:rsidRDefault="00F26907">
      <w:pPr>
        <w:rPr>
          <w:rFonts w:eastAsia="Times New Roman"/>
          <w:b/>
          <w:szCs w:val="22"/>
          <w:u w:val="single"/>
        </w:rPr>
      </w:pPr>
      <w:r w:rsidRPr="003E67DD">
        <w:rPr>
          <w:rFonts w:eastAsia="Times New Roman"/>
          <w:b/>
          <w:szCs w:val="22"/>
          <w:u w:val="single"/>
        </w:rPr>
        <w:t>Notes</w:t>
      </w:r>
    </w:p>
    <w:p w14:paraId="21ACB68F" w14:textId="77777777" w:rsidR="003E67DD" w:rsidRPr="003E67DD" w:rsidRDefault="003E67DD" w:rsidP="003E67DD">
      <w:pPr>
        <w:pStyle w:val="NoSpacing"/>
        <w:tabs>
          <w:tab w:val="left" w:pos="2612"/>
        </w:tabs>
        <w:spacing w:line="240" w:lineRule="auto"/>
        <w:rPr>
          <w:rFonts w:asciiTheme="minorHAnsi" w:hAnsiTheme="minorHAnsi"/>
          <w:b/>
          <w:sz w:val="24"/>
          <w:szCs w:val="24"/>
        </w:rPr>
      </w:pPr>
      <w:r w:rsidRPr="003E67DD">
        <w:rPr>
          <w:rFonts w:asciiTheme="minorHAnsi" w:hAnsiTheme="minorHAnsi"/>
          <w:b/>
          <w:sz w:val="24"/>
          <w:szCs w:val="24"/>
        </w:rPr>
        <w:t>Principle 1:  Outcomes Assessment</w:t>
      </w:r>
    </w:p>
    <w:p w14:paraId="79E457C6" w14:textId="77777777" w:rsidR="003E67DD" w:rsidRPr="003E67DD" w:rsidRDefault="003E67DD" w:rsidP="003E67DD">
      <w:pPr>
        <w:pStyle w:val="ListParagraph"/>
        <w:widowControl/>
        <w:tabs>
          <w:tab w:val="left" w:pos="540"/>
        </w:tabs>
        <w:suppressAutoHyphens w:val="0"/>
        <w:ind w:left="0"/>
        <w:contextualSpacing/>
        <w:rPr>
          <w:rFonts w:asciiTheme="minorHAnsi" w:hAnsiTheme="minorHAnsi"/>
          <w:bCs/>
          <w:szCs w:val="23"/>
        </w:rPr>
      </w:pPr>
      <w:r w:rsidRPr="003E67DD">
        <w:rPr>
          <w:rFonts w:asciiTheme="minorHAnsi" w:hAnsiTheme="minorHAnsi"/>
          <w:b/>
          <w:bCs/>
          <w:szCs w:val="23"/>
        </w:rPr>
        <w:t>Issue:</w:t>
      </w:r>
      <w:r w:rsidRPr="003E67DD">
        <w:rPr>
          <w:rFonts w:asciiTheme="minorHAnsi" w:hAnsiTheme="minorHAnsi"/>
          <w:bCs/>
          <w:szCs w:val="23"/>
        </w:rPr>
        <w:t xml:space="preserve">  Resubmit the Outcomes Assessment plan for the B.S. degree that makes the following changes:</w:t>
      </w:r>
    </w:p>
    <w:p w14:paraId="4808403D" w14:textId="77777777" w:rsidR="003E67DD" w:rsidRPr="003E67DD" w:rsidRDefault="003E67DD" w:rsidP="003E67DD">
      <w:pPr>
        <w:pStyle w:val="ListParagraph"/>
        <w:widowControl/>
        <w:suppressAutoHyphens w:val="0"/>
        <w:ind w:left="0"/>
        <w:contextualSpacing/>
        <w:rPr>
          <w:rFonts w:asciiTheme="minorHAnsi" w:hAnsiTheme="minorHAnsi"/>
          <w:bCs/>
          <w:i/>
          <w:szCs w:val="23"/>
        </w:rPr>
      </w:pPr>
      <w:r w:rsidRPr="003E67DD">
        <w:rPr>
          <w:rFonts w:asciiTheme="minorHAnsi" w:hAnsiTheme="minorHAnsi"/>
          <w:bCs/>
          <w:i/>
          <w:szCs w:val="23"/>
        </w:rPr>
        <w:t>Student Learning Outcomes:</w:t>
      </w:r>
    </w:p>
    <w:p w14:paraId="7F9540FE" w14:textId="77777777" w:rsidR="003E67DD" w:rsidRPr="003E67DD" w:rsidRDefault="003E67DD" w:rsidP="003E67DD">
      <w:pPr>
        <w:pStyle w:val="ListParagraph"/>
        <w:widowControl/>
        <w:numPr>
          <w:ilvl w:val="0"/>
          <w:numId w:val="1"/>
        </w:numPr>
        <w:suppressAutoHyphens w:val="0"/>
        <w:contextualSpacing/>
        <w:rPr>
          <w:rFonts w:asciiTheme="minorHAnsi" w:hAnsiTheme="minorHAnsi"/>
          <w:bCs/>
          <w:szCs w:val="23"/>
        </w:rPr>
      </w:pPr>
      <w:r w:rsidRPr="003E67DD">
        <w:rPr>
          <w:rFonts w:asciiTheme="minorHAnsi" w:hAnsiTheme="minorHAnsi"/>
          <w:bCs/>
          <w:szCs w:val="23"/>
        </w:rPr>
        <w:t>Revise the program level student learning outcomes so that they are specific and measurable.</w:t>
      </w:r>
    </w:p>
    <w:p w14:paraId="1BEB5280" w14:textId="77777777" w:rsidR="003E67DD" w:rsidRPr="003E67DD" w:rsidRDefault="003E67DD" w:rsidP="003E67DD">
      <w:pPr>
        <w:pStyle w:val="ListParagraph"/>
        <w:widowControl/>
        <w:suppressAutoHyphens w:val="0"/>
        <w:ind w:left="0"/>
        <w:contextualSpacing/>
        <w:rPr>
          <w:rFonts w:asciiTheme="minorHAnsi" w:hAnsiTheme="minorHAnsi"/>
          <w:bCs/>
          <w:i/>
          <w:szCs w:val="23"/>
        </w:rPr>
      </w:pPr>
      <w:r w:rsidRPr="003E67DD">
        <w:rPr>
          <w:rFonts w:asciiTheme="minorHAnsi" w:hAnsiTheme="minorHAnsi"/>
          <w:bCs/>
          <w:i/>
          <w:szCs w:val="23"/>
        </w:rPr>
        <w:t>Measurement Tools:</w:t>
      </w:r>
    </w:p>
    <w:p w14:paraId="2DC8C6A7" w14:textId="77777777" w:rsidR="003E67DD" w:rsidRPr="003E67DD" w:rsidRDefault="003E67DD" w:rsidP="003E67DD">
      <w:pPr>
        <w:pStyle w:val="ListParagraph"/>
        <w:widowControl/>
        <w:numPr>
          <w:ilvl w:val="0"/>
          <w:numId w:val="1"/>
        </w:numPr>
        <w:suppressAutoHyphens w:val="0"/>
        <w:contextualSpacing/>
        <w:rPr>
          <w:rFonts w:asciiTheme="minorHAnsi" w:hAnsiTheme="minorHAnsi"/>
          <w:bCs/>
          <w:szCs w:val="23"/>
        </w:rPr>
      </w:pPr>
      <w:r w:rsidRPr="003E67DD">
        <w:rPr>
          <w:rFonts w:asciiTheme="minorHAnsi" w:hAnsiTheme="minorHAnsi"/>
          <w:bCs/>
          <w:szCs w:val="23"/>
        </w:rPr>
        <w:t>Select at least two direct and two direct measures of student learning for which there is a direct connection between the measurement tool or rubric and the student learning outcome(s) that is being measured.  You may select measures already used, modify existing measures, or create new measures (see items 3-6 in this section on page 4-5).</w:t>
      </w:r>
    </w:p>
    <w:p w14:paraId="0A79B975" w14:textId="77777777" w:rsidR="003E67DD" w:rsidRPr="003E67DD" w:rsidRDefault="003E67DD" w:rsidP="003E67DD">
      <w:pPr>
        <w:pStyle w:val="BodyTextIndent"/>
        <w:spacing w:after="0"/>
        <w:ind w:left="0"/>
        <w:rPr>
          <w:bCs/>
          <w:i/>
        </w:rPr>
      </w:pPr>
      <w:r w:rsidRPr="003E67DD">
        <w:rPr>
          <w:bCs/>
          <w:i/>
        </w:rPr>
        <w:t>Data Collection:</w:t>
      </w:r>
    </w:p>
    <w:p w14:paraId="7ACC673C" w14:textId="77777777" w:rsidR="003E67DD" w:rsidRPr="003E67DD" w:rsidRDefault="003E67DD" w:rsidP="003E67DD">
      <w:pPr>
        <w:pStyle w:val="BodyTextIndent"/>
        <w:widowControl w:val="0"/>
        <w:numPr>
          <w:ilvl w:val="0"/>
          <w:numId w:val="1"/>
        </w:numPr>
        <w:suppressAutoHyphens/>
        <w:spacing w:after="0"/>
        <w:ind w:left="0" w:firstLine="360"/>
        <w:rPr>
          <w:bCs/>
        </w:rPr>
      </w:pPr>
      <w:r w:rsidRPr="003E67DD">
        <w:rPr>
          <w:bCs/>
        </w:rPr>
        <w:t>Submit one year of data based on the revised outcomes assessment plan.</w:t>
      </w:r>
    </w:p>
    <w:p w14:paraId="0EA16FAC" w14:textId="77777777" w:rsidR="003E67DD" w:rsidRPr="003E67DD" w:rsidRDefault="003E67DD" w:rsidP="003E67DD">
      <w:pPr>
        <w:pStyle w:val="BodyTextIndent"/>
        <w:widowControl w:val="0"/>
        <w:numPr>
          <w:ilvl w:val="0"/>
          <w:numId w:val="1"/>
        </w:numPr>
        <w:suppressAutoHyphens/>
        <w:spacing w:after="0"/>
        <w:rPr>
          <w:bCs/>
        </w:rPr>
      </w:pPr>
      <w:r w:rsidRPr="003E67DD">
        <w:rPr>
          <w:bCs/>
        </w:rPr>
        <w:t>Submit revised Action Plans and highlight any program changes and improvements made or planned as a direct result of the data collected.</w:t>
      </w:r>
    </w:p>
    <w:p w14:paraId="6245CB29" w14:textId="77777777" w:rsidR="003E67DD" w:rsidRPr="003E67DD" w:rsidRDefault="003E67DD" w:rsidP="003E67DD">
      <w:pPr>
        <w:pStyle w:val="BodyTextIndent"/>
        <w:spacing w:after="0"/>
        <w:ind w:left="0"/>
        <w:rPr>
          <w:bCs/>
        </w:rPr>
      </w:pPr>
      <w:r w:rsidRPr="003E67DD">
        <w:rPr>
          <w:b/>
          <w:bCs/>
        </w:rPr>
        <w:t>Note 1</w:t>
      </w:r>
      <w:r w:rsidRPr="003E67DD">
        <w:rPr>
          <w:bCs/>
        </w:rPr>
        <w:t>:  The response included a revised Outcomes Assessment plan that included revised and added student learning outcomes and revised measurement tools. To follow up, submit one year of data based on these new SLOs and measurement tools along with a summary of the data, action plans, and results of any action plans (as available).</w:t>
      </w:r>
    </w:p>
    <w:p w14:paraId="2A8FCE25" w14:textId="77777777" w:rsidR="00A3259A" w:rsidRDefault="00A3259A" w:rsidP="003E67DD">
      <w:pPr>
        <w:pStyle w:val="BodyTextIndent"/>
        <w:spacing w:after="0"/>
        <w:ind w:left="0"/>
        <w:rPr>
          <w:b/>
          <w:bCs/>
        </w:rPr>
      </w:pPr>
      <w:r w:rsidRPr="00D40037">
        <w:rPr>
          <w:b/>
          <w:bCs/>
        </w:rPr>
        <w:t>Outcome:</w:t>
      </w:r>
      <w:r w:rsidR="00D40037" w:rsidRPr="00D40037">
        <w:rPr>
          <w:b/>
          <w:bCs/>
        </w:rPr>
        <w:t xml:space="preserve"> Resolved.</w:t>
      </w:r>
    </w:p>
    <w:p w14:paraId="69E42AA5" w14:textId="77777777" w:rsidR="003E67DD" w:rsidRPr="003E67DD" w:rsidRDefault="003E67DD" w:rsidP="003E67DD">
      <w:pPr>
        <w:pStyle w:val="BodyTextIndent"/>
        <w:spacing w:after="0"/>
        <w:ind w:left="0"/>
        <w:rPr>
          <w:b/>
          <w:bCs/>
        </w:rPr>
      </w:pPr>
    </w:p>
    <w:p w14:paraId="7144E789" w14:textId="77777777" w:rsidR="003E67DD" w:rsidRPr="003E67DD" w:rsidRDefault="003E67DD" w:rsidP="003E67DD">
      <w:pPr>
        <w:autoSpaceDE w:val="0"/>
        <w:autoSpaceDN w:val="0"/>
        <w:adjustRightInd w:val="0"/>
        <w:rPr>
          <w:rFonts w:cs="Cambria"/>
          <w:b/>
          <w:bCs/>
          <w:szCs w:val="22"/>
        </w:rPr>
      </w:pPr>
      <w:r w:rsidRPr="003E67DD">
        <w:rPr>
          <w:rFonts w:cs="Cambria"/>
          <w:b/>
          <w:bCs/>
          <w:szCs w:val="22"/>
        </w:rPr>
        <w:t>Principle 2:  Strategic Planning</w:t>
      </w:r>
    </w:p>
    <w:p w14:paraId="7B736CAD" w14:textId="77777777" w:rsidR="003E67DD" w:rsidRPr="003E67DD" w:rsidRDefault="003E67DD" w:rsidP="003E67DD">
      <w:pPr>
        <w:autoSpaceDE w:val="0"/>
        <w:autoSpaceDN w:val="0"/>
        <w:adjustRightInd w:val="0"/>
        <w:rPr>
          <w:bCs/>
          <w:szCs w:val="23"/>
        </w:rPr>
      </w:pPr>
      <w:r w:rsidRPr="003E67DD">
        <w:rPr>
          <w:rFonts w:cs="Cambria"/>
          <w:b/>
          <w:bCs/>
          <w:szCs w:val="22"/>
        </w:rPr>
        <w:t xml:space="preserve">Issue:  </w:t>
      </w:r>
      <w:r w:rsidRPr="003E67DD">
        <w:rPr>
          <w:bCs/>
          <w:szCs w:val="23"/>
        </w:rPr>
        <w:t xml:space="preserve">Revise the strategic plan to articulate clearly the program level goals. The site review team recommends establishing 5-year departmental goals.  Provide an external </w:t>
      </w:r>
      <w:r w:rsidRPr="003E67DD">
        <w:t xml:space="preserve">analysis, including key sociological, technological, economic, and political trends relevant to the environment in which the sport management program competes, along with an analysis of the competitive environment. </w:t>
      </w:r>
      <w:r w:rsidRPr="003E67DD">
        <w:rPr>
          <w:bCs/>
          <w:szCs w:val="23"/>
        </w:rPr>
        <w:t>Show the establishment of a consistent cycle for the external program review (the site visit team suggests every 5 years and could utilize the current Advisory Board and an educational expert from sport management).</w:t>
      </w:r>
    </w:p>
    <w:p w14:paraId="161D1712" w14:textId="77777777" w:rsidR="003E67DD" w:rsidRPr="003E67DD" w:rsidRDefault="003E67DD" w:rsidP="003E67DD">
      <w:pPr>
        <w:autoSpaceDE w:val="0"/>
        <w:autoSpaceDN w:val="0"/>
        <w:adjustRightInd w:val="0"/>
        <w:rPr>
          <w:rFonts w:cs="Cambria"/>
          <w:b/>
          <w:bCs/>
          <w:szCs w:val="22"/>
        </w:rPr>
      </w:pPr>
      <w:r w:rsidRPr="003E67DD">
        <w:rPr>
          <w:b/>
          <w:bCs/>
          <w:szCs w:val="23"/>
        </w:rPr>
        <w:t>Note 2</w:t>
      </w:r>
      <w:r w:rsidRPr="003E67DD">
        <w:rPr>
          <w:bCs/>
          <w:szCs w:val="23"/>
        </w:rPr>
        <w:t xml:space="preserve">:  A </w:t>
      </w:r>
      <w:r w:rsidRPr="003E67DD">
        <w:t xml:space="preserve">detailed SWOT analysis and long-term goals for the department were submitted. The submitted external analysis was somewhat weak and did not address effectively many of the variables outlined in the </w:t>
      </w:r>
      <w:r w:rsidRPr="003E67DD">
        <w:rPr>
          <w:i/>
        </w:rPr>
        <w:t>Principles</w:t>
      </w:r>
      <w:r w:rsidRPr="003E67DD">
        <w:t xml:space="preserve"> document. While the timeframe for the external review cycle is appropriate, it should include an overall </w:t>
      </w:r>
      <w:r w:rsidRPr="003E67DD">
        <w:rPr>
          <w:i/>
        </w:rPr>
        <w:t>program-level</w:t>
      </w:r>
      <w:r w:rsidRPr="003E67DD">
        <w:t xml:space="preserve"> review. The </w:t>
      </w:r>
      <w:r w:rsidRPr="003E67DD">
        <w:rPr>
          <w:bCs/>
        </w:rPr>
        <w:t xml:space="preserve">next review cycle should include a more detailed and program-specific external analysis and an </w:t>
      </w:r>
      <w:r w:rsidRPr="003E67DD">
        <w:rPr>
          <w:bCs/>
          <w:i/>
        </w:rPr>
        <w:t>overall program</w:t>
      </w:r>
      <w:r w:rsidRPr="003E67DD">
        <w:rPr>
          <w:bCs/>
        </w:rPr>
        <w:t xml:space="preserve"> review cycle that is not limited to curriculum (e.g., includes the competitive environment, etc.). In addition, if the graduate program is going to grow, indicate how this will be adequately staffed and how resources will be allocated to adequately accomplish the mission of the graduate degree program (see Principle 6:  Resources). </w:t>
      </w:r>
    </w:p>
    <w:p w14:paraId="750AC881" w14:textId="77777777" w:rsidR="00A3259A" w:rsidRDefault="00A3259A" w:rsidP="003E67DD">
      <w:pPr>
        <w:autoSpaceDE w:val="0"/>
        <w:autoSpaceDN w:val="0"/>
        <w:adjustRightInd w:val="0"/>
        <w:rPr>
          <w:rFonts w:cs="Cambria"/>
          <w:b/>
          <w:bCs/>
          <w:szCs w:val="22"/>
        </w:rPr>
      </w:pPr>
      <w:r w:rsidRPr="00D40037">
        <w:rPr>
          <w:rFonts w:cs="Cambria"/>
          <w:b/>
          <w:bCs/>
          <w:szCs w:val="22"/>
        </w:rPr>
        <w:t>Outcome:</w:t>
      </w:r>
      <w:r w:rsidR="00D40037" w:rsidRPr="00D40037">
        <w:rPr>
          <w:rFonts w:cs="Cambria"/>
          <w:b/>
          <w:bCs/>
          <w:szCs w:val="22"/>
        </w:rPr>
        <w:t xml:space="preserve"> Resolved.</w:t>
      </w:r>
    </w:p>
    <w:p w14:paraId="39BAFB31" w14:textId="77777777" w:rsidR="003E67DD" w:rsidRPr="003E67DD" w:rsidRDefault="003E67DD" w:rsidP="003E67DD">
      <w:pPr>
        <w:autoSpaceDE w:val="0"/>
        <w:autoSpaceDN w:val="0"/>
        <w:adjustRightInd w:val="0"/>
        <w:rPr>
          <w:rFonts w:cs="Cambria"/>
          <w:b/>
          <w:bCs/>
          <w:szCs w:val="22"/>
        </w:rPr>
      </w:pPr>
    </w:p>
    <w:p w14:paraId="55436A3B" w14:textId="77777777" w:rsidR="003E67DD" w:rsidRPr="003E67DD" w:rsidRDefault="003E67DD" w:rsidP="003E67DD">
      <w:pPr>
        <w:autoSpaceDE w:val="0"/>
        <w:autoSpaceDN w:val="0"/>
        <w:adjustRightInd w:val="0"/>
        <w:rPr>
          <w:rFonts w:cs="Cambria"/>
          <w:b/>
          <w:bCs/>
          <w:szCs w:val="22"/>
        </w:rPr>
      </w:pPr>
      <w:r w:rsidRPr="003E67DD">
        <w:rPr>
          <w:rFonts w:cs="Cambria"/>
          <w:b/>
          <w:bCs/>
          <w:szCs w:val="22"/>
        </w:rPr>
        <w:t>Principle 6:  Resources</w:t>
      </w:r>
    </w:p>
    <w:p w14:paraId="164F34B3" w14:textId="77777777" w:rsidR="003E67DD" w:rsidRPr="003E67DD" w:rsidRDefault="003E67DD" w:rsidP="003E67DD">
      <w:pPr>
        <w:pStyle w:val="ListParagraph"/>
        <w:widowControl/>
        <w:suppressAutoHyphens w:val="0"/>
        <w:ind w:left="0"/>
        <w:contextualSpacing/>
        <w:rPr>
          <w:rFonts w:asciiTheme="minorHAnsi" w:hAnsiTheme="minorHAnsi"/>
          <w:bCs/>
          <w:szCs w:val="23"/>
        </w:rPr>
      </w:pPr>
      <w:r w:rsidRPr="003E67DD">
        <w:rPr>
          <w:rFonts w:asciiTheme="minorHAnsi" w:hAnsiTheme="minorHAnsi"/>
          <w:b/>
          <w:bCs/>
          <w:szCs w:val="23"/>
        </w:rPr>
        <w:t>Issue:</w:t>
      </w:r>
      <w:r w:rsidRPr="003E67DD">
        <w:rPr>
          <w:rFonts w:asciiTheme="minorHAnsi" w:hAnsiTheme="minorHAnsi"/>
          <w:bCs/>
          <w:szCs w:val="23"/>
        </w:rPr>
        <w:t xml:space="preserve">  The size and scope of both the undergraduate and graduate programs places a strain on the two full time faculty and the available facilities. Demonstrate that an increase in both areas is planned in order to maintain current quality levels.</w:t>
      </w:r>
    </w:p>
    <w:p w14:paraId="77A573A4" w14:textId="77777777" w:rsidR="003E67DD" w:rsidRPr="003E67DD" w:rsidRDefault="003E67DD" w:rsidP="003E67DD">
      <w:pPr>
        <w:pStyle w:val="ListParagraph"/>
        <w:widowControl/>
        <w:suppressAutoHyphens w:val="0"/>
        <w:ind w:left="0"/>
        <w:contextualSpacing/>
        <w:rPr>
          <w:rFonts w:asciiTheme="minorHAnsi" w:hAnsiTheme="minorHAnsi"/>
          <w:bCs/>
          <w:szCs w:val="23"/>
        </w:rPr>
      </w:pPr>
      <w:r w:rsidRPr="003E67DD">
        <w:rPr>
          <w:rFonts w:asciiTheme="minorHAnsi" w:hAnsiTheme="minorHAnsi"/>
          <w:b/>
          <w:bCs/>
          <w:szCs w:val="23"/>
        </w:rPr>
        <w:t>Note 3:</w:t>
      </w:r>
      <w:r w:rsidRPr="003E67DD">
        <w:rPr>
          <w:rFonts w:asciiTheme="minorHAnsi" w:hAnsiTheme="minorHAnsi"/>
          <w:bCs/>
          <w:szCs w:val="23"/>
        </w:rPr>
        <w:t xml:space="preserve">  After the 2014-15 academic year, provide additional information as to the status of the graduate program. If the program continues, faculty resources will require reevaluation to accommodate expansion of the program and adequately fulfill its mission (see Principle 2:  Strategic Planning).</w:t>
      </w:r>
    </w:p>
    <w:p w14:paraId="215258C2" w14:textId="77777777" w:rsidR="00A3259A" w:rsidRPr="00A3259A" w:rsidRDefault="00A3259A">
      <w:pPr>
        <w:rPr>
          <w:rFonts w:eastAsia="Times New Roman"/>
          <w:b/>
          <w:szCs w:val="22"/>
        </w:rPr>
      </w:pPr>
      <w:r w:rsidRPr="00D40037">
        <w:rPr>
          <w:rFonts w:eastAsia="Times New Roman"/>
          <w:b/>
          <w:szCs w:val="22"/>
        </w:rPr>
        <w:t>Outcome:</w:t>
      </w:r>
      <w:r w:rsidR="00D40037">
        <w:rPr>
          <w:rFonts w:eastAsia="Times New Roman"/>
          <w:b/>
          <w:szCs w:val="22"/>
        </w:rPr>
        <w:t xml:space="preserve"> More information after AY 2014-15.</w:t>
      </w:r>
    </w:p>
    <w:p w14:paraId="6F23DFD1" w14:textId="77777777" w:rsidR="00CF702C" w:rsidRPr="003E67DD" w:rsidRDefault="00CF702C">
      <w:pPr>
        <w:rPr>
          <w:rFonts w:eastAsia="Times New Roman"/>
          <w:szCs w:val="22"/>
        </w:rPr>
      </w:pPr>
    </w:p>
    <w:p w14:paraId="4E4E50DB" w14:textId="77777777" w:rsidR="00CF702C" w:rsidRPr="003E67DD" w:rsidRDefault="00A56164" w:rsidP="00CF702C">
      <w:pPr>
        <w:pStyle w:val="NormalWeb"/>
        <w:spacing w:before="2" w:after="2"/>
        <w:rPr>
          <w:rFonts w:asciiTheme="minorHAnsi" w:hAnsiTheme="minorHAnsi"/>
          <w:sz w:val="24"/>
        </w:rPr>
      </w:pPr>
      <w:r>
        <w:rPr>
          <w:rFonts w:asciiTheme="minorHAnsi" w:hAnsiTheme="minorHAnsi"/>
          <w:sz w:val="24"/>
        </w:rPr>
        <w:t>The</w:t>
      </w:r>
      <w:r w:rsidR="00CF702C" w:rsidRPr="003E67DD">
        <w:rPr>
          <w:rFonts w:asciiTheme="minorHAnsi" w:hAnsiTheme="minorHAnsi"/>
          <w:sz w:val="24"/>
        </w:rPr>
        <w:t xml:space="preserve"> University </w:t>
      </w:r>
      <w:r>
        <w:rPr>
          <w:rFonts w:asciiTheme="minorHAnsi" w:hAnsiTheme="minorHAnsi"/>
          <w:sz w:val="24"/>
        </w:rPr>
        <w:t xml:space="preserve">of Indianapolis </w:t>
      </w:r>
      <w:r w:rsidR="00CF702C" w:rsidRPr="003E67DD">
        <w:rPr>
          <w:rFonts w:asciiTheme="minorHAnsi" w:hAnsiTheme="minorHAnsi"/>
          <w:sz w:val="24"/>
        </w:rPr>
        <w:t>will provide an Annual Report, due by July 31 each year, that addresses the “Notes” specified by the Board of Commissioners in</w:t>
      </w:r>
      <w:r>
        <w:rPr>
          <w:rFonts w:asciiTheme="minorHAnsi" w:hAnsiTheme="minorHAnsi"/>
          <w:sz w:val="24"/>
        </w:rPr>
        <w:t xml:space="preserve"> their letter of accreditation.</w:t>
      </w:r>
      <w:r w:rsidR="00CF702C" w:rsidRPr="003E67DD">
        <w:rPr>
          <w:rFonts w:asciiTheme="minorHAnsi" w:hAnsiTheme="minorHAnsi"/>
          <w:sz w:val="24"/>
        </w:rPr>
        <w:t xml:space="preserve"> </w:t>
      </w:r>
      <w:r>
        <w:rPr>
          <w:rFonts w:asciiTheme="minorHAnsi" w:hAnsiTheme="minorHAnsi"/>
          <w:sz w:val="24"/>
        </w:rPr>
        <w:t>The purpose of the Annual R</w:t>
      </w:r>
      <w:r w:rsidR="00CF702C" w:rsidRPr="003E67DD">
        <w:rPr>
          <w:rFonts w:asciiTheme="minorHAnsi" w:hAnsiTheme="minorHAnsi"/>
          <w:sz w:val="24"/>
        </w:rPr>
        <w:t xml:space="preserve">eport is to keep COSMA apprised of the activities of and the changes that take place within the academic unit/sport management program each academic year so a determination can be made that the academic unit/sport management program remains in compliance with COSMA accreditation principles, policies, and procedures. Any activity or change within the institution and/or the academic unit/sport management program that materially alters the status of the </w:t>
      </w:r>
      <w:r w:rsidR="00CF702C" w:rsidRPr="003E67DD">
        <w:rPr>
          <w:rFonts w:asciiTheme="minorHAnsi" w:hAnsiTheme="minorHAnsi"/>
          <w:bCs/>
          <w:sz w:val="24"/>
        </w:rPr>
        <w:t>sport management</w:t>
      </w:r>
      <w:r w:rsidR="00CF702C" w:rsidRPr="003E67DD">
        <w:rPr>
          <w:rFonts w:asciiTheme="minorHAnsi" w:hAnsiTheme="minorHAnsi"/>
          <w:sz w:val="24"/>
        </w:rPr>
        <w:t xml:space="preserve"> faculty, the </w:t>
      </w:r>
      <w:r w:rsidR="00CF702C" w:rsidRPr="003E67DD">
        <w:rPr>
          <w:rFonts w:asciiTheme="minorHAnsi" w:hAnsiTheme="minorHAnsi"/>
          <w:bCs/>
          <w:sz w:val="24"/>
        </w:rPr>
        <w:t>sport management</w:t>
      </w:r>
      <w:r w:rsidR="00CF702C" w:rsidRPr="003E67DD">
        <w:rPr>
          <w:rFonts w:asciiTheme="minorHAnsi" w:hAnsiTheme="minorHAnsi"/>
          <w:sz w:val="24"/>
        </w:rPr>
        <w:t xml:space="preserve"> curriculum, the resources in support of the academic unit/</w:t>
      </w:r>
      <w:r w:rsidR="00CF702C" w:rsidRPr="003E67DD">
        <w:rPr>
          <w:rFonts w:asciiTheme="minorHAnsi" w:hAnsiTheme="minorHAnsi"/>
          <w:bCs/>
          <w:sz w:val="24"/>
        </w:rPr>
        <w:t>sport management</w:t>
      </w:r>
      <w:r w:rsidR="00CF702C" w:rsidRPr="003E67DD">
        <w:rPr>
          <w:rFonts w:asciiTheme="minorHAnsi" w:hAnsiTheme="minorHAnsi"/>
          <w:sz w:val="24"/>
        </w:rPr>
        <w:t xml:space="preserve"> program, or other issue that might impact its compliance with COSMA accreditation prin</w:t>
      </w:r>
      <w:r w:rsidR="00837AD6">
        <w:rPr>
          <w:rFonts w:asciiTheme="minorHAnsi" w:hAnsiTheme="minorHAnsi"/>
          <w:sz w:val="24"/>
        </w:rPr>
        <w:t>ciples must be reported in the Annual R</w:t>
      </w:r>
      <w:r w:rsidR="00CF702C" w:rsidRPr="003E67DD">
        <w:rPr>
          <w:rFonts w:asciiTheme="minorHAnsi" w:hAnsiTheme="minorHAnsi"/>
          <w:sz w:val="24"/>
        </w:rPr>
        <w:t>eport to the COSMA.</w:t>
      </w:r>
    </w:p>
    <w:p w14:paraId="2D80CC2F" w14:textId="77777777" w:rsidR="00CF702C" w:rsidRDefault="00CF702C">
      <w:pPr>
        <w:rPr>
          <w:rFonts w:eastAsia="Times New Roman"/>
          <w:szCs w:val="22"/>
        </w:rPr>
      </w:pPr>
    </w:p>
    <w:p w14:paraId="4125ECC2" w14:textId="77777777" w:rsidR="00CF702C" w:rsidRPr="002873DA" w:rsidRDefault="00CF702C" w:rsidP="00CF702C">
      <w:pPr>
        <w:rPr>
          <w:b/>
          <w:u w:val="single"/>
        </w:rPr>
      </w:pPr>
      <w:r w:rsidRPr="002873DA">
        <w:rPr>
          <w:b/>
          <w:u w:val="single"/>
        </w:rPr>
        <w:t>Most Recent Accreditation Action</w:t>
      </w:r>
    </w:p>
    <w:p w14:paraId="66F8A577" w14:textId="77777777" w:rsidR="00CF702C" w:rsidRDefault="00CF702C" w:rsidP="00CF702C"/>
    <w:p w14:paraId="6BF0C202" w14:textId="77777777" w:rsidR="00400B79" w:rsidRDefault="00400B79" w:rsidP="00400B79">
      <w:r>
        <w:t>Date:</w:t>
      </w:r>
      <w:r>
        <w:tab/>
      </w:r>
      <w:r>
        <w:tab/>
      </w:r>
      <w:r>
        <w:tab/>
      </w:r>
      <w:r>
        <w:tab/>
      </w:r>
      <w:r>
        <w:tab/>
      </w:r>
      <w:r w:rsidR="00837AD6">
        <w:t>November 16</w:t>
      </w:r>
      <w:r w:rsidR="00966F1B">
        <w:t>, 2013</w:t>
      </w:r>
    </w:p>
    <w:p w14:paraId="0E4FC9A1" w14:textId="77777777" w:rsidR="00400B79" w:rsidRDefault="00400B79" w:rsidP="00400B79"/>
    <w:p w14:paraId="25F6E58E" w14:textId="77777777" w:rsidR="00400B79" w:rsidRPr="00B60A40" w:rsidRDefault="00400B79" w:rsidP="00837AD6">
      <w:pPr>
        <w:ind w:left="3600" w:hanging="3600"/>
      </w:pPr>
      <w:r>
        <w:t>Decision:</w:t>
      </w:r>
      <w:r>
        <w:tab/>
      </w:r>
      <w:r w:rsidR="00837AD6">
        <w:rPr>
          <w:bCs/>
        </w:rPr>
        <w:t>Accreditation with Notes.</w:t>
      </w:r>
    </w:p>
    <w:p w14:paraId="0BD137AE" w14:textId="77777777" w:rsidR="001C5ACE" w:rsidRPr="00B60A40" w:rsidRDefault="001C5ACE"/>
    <w:p w14:paraId="7451BF70" w14:textId="77777777" w:rsidR="0084330E" w:rsidRPr="00D95EA7" w:rsidRDefault="001C5ACE">
      <w:pPr>
        <w:rPr>
          <w:b/>
          <w:u w:val="single"/>
        </w:rPr>
      </w:pPr>
      <w:r w:rsidRPr="00D95EA7">
        <w:rPr>
          <w:b/>
          <w:u w:val="single"/>
        </w:rPr>
        <w:t xml:space="preserve">Reaffirmation of Accreditation:  </w:t>
      </w:r>
      <w:r w:rsidR="00837AD6">
        <w:rPr>
          <w:b/>
          <w:u w:val="single"/>
        </w:rPr>
        <w:t>October 2020</w:t>
      </w:r>
    </w:p>
    <w:p w14:paraId="7F2A127C" w14:textId="77777777" w:rsidR="0084330E" w:rsidRDefault="0084330E">
      <w:pPr>
        <w:rPr>
          <w:b/>
        </w:rPr>
      </w:pPr>
    </w:p>
    <w:p w14:paraId="0C142758" w14:textId="77777777" w:rsidR="00D95EA7" w:rsidRDefault="0084330E">
      <w:pPr>
        <w:rPr>
          <w:b/>
          <w:u w:val="single"/>
        </w:rPr>
      </w:pPr>
      <w:r w:rsidRPr="00D95EA7">
        <w:rPr>
          <w:b/>
          <w:u w:val="single"/>
        </w:rPr>
        <w:t>Student Learning Outcomes</w:t>
      </w:r>
    </w:p>
    <w:p w14:paraId="7C361E07" w14:textId="77777777" w:rsidR="0084330E" w:rsidRPr="00D95EA7" w:rsidRDefault="0084330E">
      <w:pPr>
        <w:rPr>
          <w:b/>
          <w:u w:val="single"/>
        </w:rPr>
      </w:pPr>
    </w:p>
    <w:p w14:paraId="432AE230" w14:textId="77777777" w:rsidR="002873DA" w:rsidRPr="0084330E" w:rsidRDefault="0084330E">
      <w:r w:rsidRPr="0084330E">
        <w:rPr>
          <w:rFonts w:cs="Tahoma"/>
          <w:szCs w:val="22"/>
        </w:rPr>
        <w:t xml:space="preserve">Information pertaining to student learning and achievement </w:t>
      </w:r>
      <w:r>
        <w:rPr>
          <w:rFonts w:cs="Tahoma"/>
          <w:szCs w:val="22"/>
        </w:rPr>
        <w:t>in the sport management program</w:t>
      </w:r>
      <w:r w:rsidR="00434519">
        <w:rPr>
          <w:rFonts w:cs="Tahoma"/>
          <w:szCs w:val="22"/>
        </w:rPr>
        <w:t>s</w:t>
      </w:r>
      <w:r w:rsidRPr="0084330E">
        <w:rPr>
          <w:rFonts w:cs="Tahoma"/>
          <w:szCs w:val="22"/>
        </w:rPr>
        <w:t xml:space="preserve"> accredited by COSMA can be obtained by visiting </w:t>
      </w:r>
      <w:r w:rsidR="00F11737">
        <w:rPr>
          <w:rFonts w:cs="Tahoma"/>
          <w:szCs w:val="22"/>
        </w:rPr>
        <w:t>the</w:t>
      </w:r>
      <w:r>
        <w:rPr>
          <w:rFonts w:cs="Tahoma"/>
          <w:szCs w:val="22"/>
        </w:rPr>
        <w:t xml:space="preserve"> University</w:t>
      </w:r>
      <w:r w:rsidR="00F11737">
        <w:rPr>
          <w:rFonts w:cs="Tahoma"/>
          <w:szCs w:val="22"/>
        </w:rPr>
        <w:t xml:space="preserve"> of Indianapolis’</w:t>
      </w:r>
      <w:r w:rsidR="00225051">
        <w:rPr>
          <w:rFonts w:cs="Tahoma"/>
          <w:szCs w:val="22"/>
        </w:rPr>
        <w:t xml:space="preserve"> </w:t>
      </w:r>
      <w:hyperlink r:id="rId7" w:history="1">
        <w:r w:rsidR="00225051" w:rsidRPr="00225051">
          <w:rPr>
            <w:rStyle w:val="Hyperlink"/>
            <w:rFonts w:cs="Tahoma"/>
            <w:szCs w:val="22"/>
          </w:rPr>
          <w:t>undergraduate</w:t>
        </w:r>
      </w:hyperlink>
      <w:r w:rsidR="00225051">
        <w:rPr>
          <w:rFonts w:cs="Tahoma"/>
          <w:szCs w:val="22"/>
        </w:rPr>
        <w:t xml:space="preserve"> and </w:t>
      </w:r>
      <w:hyperlink r:id="rId8" w:history="1">
        <w:r w:rsidR="00225051" w:rsidRPr="00225051">
          <w:rPr>
            <w:rStyle w:val="Hyperlink"/>
            <w:rFonts w:cs="Tahoma"/>
            <w:szCs w:val="22"/>
          </w:rPr>
          <w:t>graduate</w:t>
        </w:r>
      </w:hyperlink>
      <w:r>
        <w:rPr>
          <w:rFonts w:cs="Tahoma"/>
          <w:szCs w:val="22"/>
        </w:rPr>
        <w:t xml:space="preserve"> </w:t>
      </w:r>
      <w:r w:rsidRPr="00225051">
        <w:rPr>
          <w:rFonts w:cs="Tahoma"/>
          <w:szCs w:val="22"/>
        </w:rPr>
        <w:t>website</w:t>
      </w:r>
      <w:r w:rsidR="00225051">
        <w:rPr>
          <w:rFonts w:cs="Tahoma"/>
          <w:szCs w:val="22"/>
        </w:rPr>
        <w:t>s</w:t>
      </w:r>
      <w:r>
        <w:rPr>
          <w:rFonts w:cs="Tahoma"/>
          <w:szCs w:val="22"/>
        </w:rPr>
        <w:t xml:space="preserve"> </w:t>
      </w:r>
      <w:r w:rsidRPr="0084330E">
        <w:rPr>
          <w:rFonts w:cs="Tahoma"/>
          <w:szCs w:val="22"/>
        </w:rPr>
        <w:t xml:space="preserve">or by contacting </w:t>
      </w:r>
      <w:r w:rsidR="00CF702C">
        <w:rPr>
          <w:rFonts w:cs="Tahoma"/>
          <w:szCs w:val="22"/>
        </w:rPr>
        <w:t xml:space="preserve">Dr. </w:t>
      </w:r>
      <w:r w:rsidR="00F11737">
        <w:rPr>
          <w:rFonts w:cs="Tahoma"/>
          <w:szCs w:val="22"/>
        </w:rPr>
        <w:t xml:space="preserve">Jennifer </w:t>
      </w:r>
      <w:proofErr w:type="spellStart"/>
      <w:r w:rsidR="00F11737">
        <w:rPr>
          <w:rFonts w:cs="Tahoma"/>
          <w:szCs w:val="22"/>
        </w:rPr>
        <w:t>VanSickle</w:t>
      </w:r>
      <w:proofErr w:type="spellEnd"/>
      <w:r w:rsidR="00CF702C">
        <w:rPr>
          <w:rFonts w:cs="Tahoma"/>
          <w:szCs w:val="22"/>
        </w:rPr>
        <w:t xml:space="preserve"> </w:t>
      </w:r>
      <w:r w:rsidRPr="0084330E">
        <w:rPr>
          <w:rFonts w:cs="Tahoma"/>
          <w:szCs w:val="22"/>
        </w:rPr>
        <w:t xml:space="preserve">at </w:t>
      </w:r>
      <w:r w:rsidR="00F11737">
        <w:rPr>
          <w:rFonts w:cs="Tahoma"/>
          <w:szCs w:val="22"/>
        </w:rPr>
        <w:t>jvansickle@uindy.edu</w:t>
      </w:r>
      <w:r w:rsidR="00CF702C">
        <w:rPr>
          <w:rFonts w:cs="Tahoma"/>
          <w:szCs w:val="22"/>
        </w:rPr>
        <w:t>.</w:t>
      </w:r>
      <w:bookmarkStart w:id="0" w:name="_GoBack"/>
      <w:bookmarkEnd w:id="0"/>
    </w:p>
    <w:sectPr w:rsidR="002873DA" w:rsidRPr="0084330E"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font278">
    <w:altName w:val="Times New Roman"/>
    <w:charset w:val="00"/>
    <w:family w:val="auto"/>
    <w:pitch w:val="variable"/>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6ED"/>
    <w:multiLevelType w:val="hybridMultilevel"/>
    <w:tmpl w:val="6AACB4E8"/>
    <w:lvl w:ilvl="0" w:tplc="04090019">
      <w:start w:val="1"/>
      <w:numFmt w:val="lowerLetter"/>
      <w:lvlText w:val="%1."/>
      <w:lvlJc w:val="left"/>
      <w:pPr>
        <w:ind w:left="720" w:hanging="360"/>
      </w:pPr>
    </w:lvl>
    <w:lvl w:ilvl="1" w:tplc="DC30B2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5ACE"/>
    <w:rsid w:val="000062B6"/>
    <w:rsid w:val="00012ECC"/>
    <w:rsid w:val="00026C04"/>
    <w:rsid w:val="00034136"/>
    <w:rsid w:val="000E131C"/>
    <w:rsid w:val="00170128"/>
    <w:rsid w:val="001B3996"/>
    <w:rsid w:val="001C5ACE"/>
    <w:rsid w:val="00223B79"/>
    <w:rsid w:val="00224493"/>
    <w:rsid w:val="00225051"/>
    <w:rsid w:val="002577B9"/>
    <w:rsid w:val="002873DA"/>
    <w:rsid w:val="003027D8"/>
    <w:rsid w:val="003D1CAF"/>
    <w:rsid w:val="003E31CF"/>
    <w:rsid w:val="003E67DD"/>
    <w:rsid w:val="00400B79"/>
    <w:rsid w:val="00434519"/>
    <w:rsid w:val="00452CCA"/>
    <w:rsid w:val="0054126B"/>
    <w:rsid w:val="005749D1"/>
    <w:rsid w:val="00637214"/>
    <w:rsid w:val="00723F0B"/>
    <w:rsid w:val="00837AD6"/>
    <w:rsid w:val="0084330E"/>
    <w:rsid w:val="00843EBD"/>
    <w:rsid w:val="008E2BA7"/>
    <w:rsid w:val="00966F1B"/>
    <w:rsid w:val="00A124AA"/>
    <w:rsid w:val="00A3259A"/>
    <w:rsid w:val="00A56164"/>
    <w:rsid w:val="00AE37F8"/>
    <w:rsid w:val="00B60A40"/>
    <w:rsid w:val="00B83A56"/>
    <w:rsid w:val="00C7428D"/>
    <w:rsid w:val="00CF702C"/>
    <w:rsid w:val="00D40037"/>
    <w:rsid w:val="00D74F53"/>
    <w:rsid w:val="00D95EA7"/>
    <w:rsid w:val="00DA1CEB"/>
    <w:rsid w:val="00DA62AF"/>
    <w:rsid w:val="00E05CAE"/>
    <w:rsid w:val="00F11737"/>
    <w:rsid w:val="00F16B92"/>
    <w:rsid w:val="00F26907"/>
    <w:rsid w:val="00F45992"/>
    <w:rsid w:val="00F87053"/>
    <w:rsid w:val="00FC20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E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No Spacing" w:qFormat="1"/>
    <w:lsdException w:name="List Paragraph" w:uiPriority="34" w:qFormat="1"/>
  </w:latentStyles>
  <w:style w:type="paragraph" w:default="1" w:styleId="Normal">
    <w:name w:val="Normal"/>
    <w:qFormat/>
    <w:rsid w:val="00135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34"/>
    <w:qFormat/>
    <w:rsid w:val="00F16B92"/>
    <w:pPr>
      <w:widowControl w:val="0"/>
      <w:suppressAutoHyphens/>
      <w:ind w:left="720"/>
    </w:pPr>
    <w:rPr>
      <w:rFonts w:ascii="Times New Roman" w:eastAsia="Lucida Sans Unicode" w:hAnsi="Times New Roman" w:cs="Times New Roman"/>
      <w:kern w:val="1"/>
    </w:rPr>
  </w:style>
  <w:style w:type="paragraph" w:styleId="BodyTextIndent">
    <w:name w:val="Body Text Indent"/>
    <w:basedOn w:val="Normal"/>
    <w:link w:val="BodyTextIndentChar"/>
    <w:rsid w:val="003E67DD"/>
    <w:pPr>
      <w:spacing w:after="120"/>
      <w:ind w:left="360"/>
    </w:pPr>
  </w:style>
  <w:style w:type="character" w:customStyle="1" w:styleId="BodyTextIndentChar">
    <w:name w:val="Body Text Indent Char"/>
    <w:basedOn w:val="DefaultParagraphFont"/>
    <w:link w:val="BodyTextIndent"/>
    <w:rsid w:val="003E67DD"/>
  </w:style>
  <w:style w:type="paragraph" w:styleId="NoSpacing">
    <w:name w:val="No Spacing"/>
    <w:qFormat/>
    <w:rsid w:val="003E67DD"/>
    <w:pPr>
      <w:suppressAutoHyphens/>
      <w:spacing w:line="100" w:lineRule="atLeast"/>
    </w:pPr>
    <w:rPr>
      <w:rFonts w:ascii="Calibri" w:eastAsia="Lucida Sans Unicode" w:hAnsi="Calibri" w:cs="font278"/>
      <w:kern w:val="1"/>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uindy.edu/health-sciences/kinesiology/sport-management" TargetMode="External"/><Relationship Id="rId8" Type="http://schemas.openxmlformats.org/officeDocument/2006/relationships/hyperlink" Target="http://www.uindy.edu/health-sciences/sport-management-masters/sport-management-masters-progra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1056</Words>
  <Characters>6021</Characters>
  <Application>Microsoft Macintosh Word</Application>
  <DocSecurity>0</DocSecurity>
  <Lines>50</Lines>
  <Paragraphs>14</Paragraphs>
  <ScaleCrop>false</ScaleCrop>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12</cp:revision>
  <dcterms:created xsi:type="dcterms:W3CDTF">2013-12-03T19:36:00Z</dcterms:created>
  <dcterms:modified xsi:type="dcterms:W3CDTF">2016-10-20T18:19:00Z</dcterms:modified>
</cp:coreProperties>
</file>