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98A0" w14:textId="77777777" w:rsidR="001B3996" w:rsidRDefault="001B3996">
      <w:pPr>
        <w:rPr>
          <w:b/>
        </w:rPr>
      </w:pPr>
      <w:r>
        <w:rPr>
          <w:b/>
          <w:noProof/>
          <w:lang w:eastAsia="en-US"/>
        </w:rPr>
        <w:drawing>
          <wp:anchor distT="0" distB="0" distL="114935" distR="114935" simplePos="0" relativeHeight="251658240" behindDoc="0" locked="0" layoutInCell="1" allowOverlap="1" wp14:anchorId="6ACEEE23" wp14:editId="1F929453">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3F53EA79" w14:textId="77777777" w:rsidR="001B3996" w:rsidRDefault="001B3996">
      <w:pPr>
        <w:rPr>
          <w:b/>
        </w:rPr>
      </w:pPr>
    </w:p>
    <w:p w14:paraId="1156EE37" w14:textId="77777777" w:rsidR="001B3996" w:rsidRDefault="001B3996">
      <w:pPr>
        <w:rPr>
          <w:b/>
        </w:rPr>
      </w:pPr>
    </w:p>
    <w:p w14:paraId="4EFD67AE" w14:textId="77777777" w:rsidR="001B3996" w:rsidRDefault="001B3996">
      <w:pPr>
        <w:rPr>
          <w:b/>
        </w:rPr>
      </w:pPr>
    </w:p>
    <w:p w14:paraId="6A7F64C9" w14:textId="77777777" w:rsidR="00FC20EB" w:rsidRPr="00FC20EB" w:rsidRDefault="00FC20EB" w:rsidP="00FC20EB">
      <w:pPr>
        <w:jc w:val="center"/>
        <w:rPr>
          <w:b/>
          <w:sz w:val="36"/>
        </w:rPr>
      </w:pPr>
      <w:r w:rsidRPr="00FC20EB">
        <w:rPr>
          <w:b/>
          <w:sz w:val="36"/>
        </w:rPr>
        <w:t>SUMMARY OF ACCREDITATION STATUS</w:t>
      </w:r>
    </w:p>
    <w:p w14:paraId="344A6669" w14:textId="77777777" w:rsidR="001B3996" w:rsidRDefault="001B3996" w:rsidP="00FC20EB">
      <w:pPr>
        <w:jc w:val="center"/>
        <w:rPr>
          <w:b/>
        </w:rPr>
      </w:pPr>
    </w:p>
    <w:p w14:paraId="2547997F" w14:textId="77777777" w:rsidR="001C5ACE" w:rsidRPr="00FC20EB" w:rsidRDefault="00513C1D" w:rsidP="00FC20EB">
      <w:pPr>
        <w:jc w:val="center"/>
        <w:rPr>
          <w:b/>
          <w:sz w:val="36"/>
        </w:rPr>
      </w:pPr>
      <w:r>
        <w:rPr>
          <w:b/>
          <w:sz w:val="36"/>
        </w:rPr>
        <w:t>Bowling Green</w:t>
      </w:r>
      <w:r w:rsidR="003D3B7C">
        <w:rPr>
          <w:b/>
          <w:sz w:val="36"/>
        </w:rPr>
        <w:t xml:space="preserve"> State </w:t>
      </w:r>
      <w:r w:rsidR="001C5ACE" w:rsidRPr="00FC20EB">
        <w:rPr>
          <w:b/>
          <w:sz w:val="36"/>
        </w:rPr>
        <w:t>University</w:t>
      </w:r>
    </w:p>
    <w:p w14:paraId="46D85E53" w14:textId="77777777" w:rsidR="00FC20EB" w:rsidRDefault="00FC20EB"/>
    <w:p w14:paraId="75A7710A" w14:textId="1182AC8C" w:rsidR="00FC20EB" w:rsidRDefault="00FC20EB">
      <w:r>
        <w:t xml:space="preserve">In accordance with the </w:t>
      </w:r>
      <w:r w:rsidR="00EB2106">
        <w:rPr>
          <w:i/>
        </w:rPr>
        <w:t>April 2016</w:t>
      </w:r>
      <w:r w:rsidRPr="00FC20EB">
        <w:rPr>
          <w:i/>
        </w:rPr>
        <w:t xml:space="preserve"> COSMA Accreditation Process Manual</w:t>
      </w:r>
      <w:r w:rsidR="00AE37F8">
        <w:t xml:space="preserve"> (p.</w:t>
      </w:r>
      <w:r w:rsidR="00EB2106">
        <w:t xml:space="preserve"> 28</w:t>
      </w:r>
      <w:r w:rsidR="00AE37F8">
        <w:t>)</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33A87323" w14:textId="77777777" w:rsidR="00FC20EB" w:rsidRDefault="00FC20EB"/>
    <w:p w14:paraId="6055CBC5"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56773E66" w14:textId="77777777" w:rsidR="002873DA" w:rsidRDefault="002873DA">
      <w:pPr>
        <w:rPr>
          <w:b/>
        </w:rPr>
      </w:pPr>
    </w:p>
    <w:p w14:paraId="37A1B63B" w14:textId="77777777" w:rsidR="00513C1D" w:rsidRDefault="00D95EA7" w:rsidP="00513C1D">
      <w:pPr>
        <w:ind w:left="3600" w:hanging="3600"/>
        <w:rPr>
          <w:b/>
          <w:i/>
        </w:rPr>
      </w:pPr>
      <w:r>
        <w:t>Type of Program</w:t>
      </w:r>
      <w:r w:rsidR="008E2BA7">
        <w:t>s:</w:t>
      </w:r>
      <w:r w:rsidR="008E2BA7">
        <w:tab/>
      </w:r>
      <w:r w:rsidR="00513C1D" w:rsidRPr="00513C1D">
        <w:t>Bachelor of Science in Education, Sport Management Program</w:t>
      </w:r>
    </w:p>
    <w:p w14:paraId="51D8D3D8" w14:textId="77777777" w:rsidR="00D00F41" w:rsidRPr="00D00F41" w:rsidRDefault="00513C1D" w:rsidP="00513C1D">
      <w:pPr>
        <w:ind w:left="3600" w:hanging="3600"/>
      </w:pPr>
      <w:r w:rsidRPr="00D00F41">
        <w:tab/>
      </w:r>
      <w:r w:rsidR="00D00F41" w:rsidRPr="00D00F41">
        <w:t>Master of Science in Education, Sport Administration Specialization</w:t>
      </w:r>
    </w:p>
    <w:p w14:paraId="0643DA37" w14:textId="77777777" w:rsidR="00AC007C" w:rsidRPr="00D00F41" w:rsidRDefault="00AC007C" w:rsidP="00513C1D">
      <w:pPr>
        <w:ind w:left="3600" w:hanging="3600"/>
      </w:pPr>
    </w:p>
    <w:p w14:paraId="7417342A" w14:textId="77777777" w:rsidR="002873DA" w:rsidRPr="002873DA" w:rsidRDefault="002873DA">
      <w:pPr>
        <w:rPr>
          <w:b/>
          <w:u w:val="single"/>
        </w:rPr>
      </w:pPr>
      <w:r w:rsidRPr="002873DA">
        <w:rPr>
          <w:b/>
          <w:u w:val="single"/>
        </w:rPr>
        <w:t>COSMA Accreditation Information</w:t>
      </w:r>
      <w:r w:rsidR="00D00F41">
        <w:rPr>
          <w:b/>
          <w:u w:val="single"/>
        </w:rPr>
        <w:t xml:space="preserve"> – Undergraduate Program</w:t>
      </w:r>
    </w:p>
    <w:p w14:paraId="39391456" w14:textId="77777777" w:rsidR="00D00F41" w:rsidRDefault="00D00F41"/>
    <w:p w14:paraId="5DCE026E" w14:textId="77777777" w:rsidR="002873DA" w:rsidRPr="00FF11F9" w:rsidRDefault="002873DA">
      <w:pPr>
        <w:rPr>
          <w:b/>
        </w:rPr>
      </w:pPr>
      <w:r w:rsidRPr="00FF11F9">
        <w:rPr>
          <w:b/>
        </w:rPr>
        <w:t>History:</w:t>
      </w:r>
      <w:r w:rsidRPr="00FF11F9">
        <w:rPr>
          <w:b/>
        </w:rPr>
        <w:tab/>
      </w:r>
      <w:r w:rsidRPr="00FF11F9">
        <w:rPr>
          <w:b/>
        </w:rPr>
        <w:tab/>
      </w:r>
      <w:r w:rsidRPr="00FF11F9">
        <w:rPr>
          <w:b/>
        </w:rPr>
        <w:tab/>
      </w:r>
      <w:r w:rsidRPr="00FF11F9">
        <w:rPr>
          <w:b/>
        </w:rPr>
        <w:tab/>
        <w:t>“Acc</w:t>
      </w:r>
      <w:r w:rsidR="00E05CAE" w:rsidRPr="00FF11F9">
        <w:rPr>
          <w:b/>
        </w:rPr>
        <w:t xml:space="preserve">redited with Notes” in </w:t>
      </w:r>
      <w:r w:rsidR="00D00F41" w:rsidRPr="00FF11F9">
        <w:rPr>
          <w:b/>
        </w:rPr>
        <w:t>May</w:t>
      </w:r>
      <w:r w:rsidR="00723F0B" w:rsidRPr="00FF11F9">
        <w:rPr>
          <w:b/>
        </w:rPr>
        <w:t xml:space="preserve"> </w:t>
      </w:r>
      <w:r w:rsidR="00D00F41" w:rsidRPr="00FF11F9">
        <w:rPr>
          <w:b/>
        </w:rPr>
        <w:t>2014</w:t>
      </w:r>
    </w:p>
    <w:p w14:paraId="434011F9" w14:textId="77777777" w:rsidR="002873DA" w:rsidRDefault="002873DA" w:rsidP="00CF702C"/>
    <w:p w14:paraId="0BFE5966" w14:textId="77777777" w:rsidR="00CF702C" w:rsidRPr="0035211D" w:rsidRDefault="002873DA" w:rsidP="00C7428D">
      <w:pPr>
        <w:rPr>
          <w:rFonts w:eastAsia="Times New Roman" w:cs="Courier"/>
          <w:szCs w:val="26"/>
        </w:rPr>
      </w:pPr>
      <w:r w:rsidRPr="00C7428D">
        <w:t xml:space="preserve">The COSMA Board of Commissioners reviewed </w:t>
      </w:r>
      <w:r w:rsidR="00D00F41">
        <w:t>Bowling Green</w:t>
      </w:r>
      <w:r w:rsidR="0035211D">
        <w:t xml:space="preserve"> State</w:t>
      </w:r>
      <w:r w:rsidRPr="00C7428D">
        <w:t xml:space="preserve"> U</w:t>
      </w:r>
      <w:r w:rsidR="00E05CAE">
        <w:t>niversity</w:t>
      </w:r>
      <w:r w:rsidR="0035211D">
        <w:t xml:space="preserve">’s </w:t>
      </w:r>
      <w:r w:rsidR="0035211D" w:rsidRPr="000D230D">
        <w:rPr>
          <w:rFonts w:ascii="Cambria" w:eastAsia="Times New Roman" w:hAnsi="Cambria" w:cs="Courier"/>
          <w:szCs w:val="26"/>
        </w:rPr>
        <w:t>Bachelor of Science</w:t>
      </w:r>
      <w:r w:rsidR="00D00F41">
        <w:rPr>
          <w:rFonts w:ascii="Cambria" w:eastAsia="Times New Roman" w:hAnsi="Cambria" w:cs="Courier"/>
          <w:szCs w:val="26"/>
        </w:rPr>
        <w:t xml:space="preserve"> in Education</w:t>
      </w:r>
      <w:r w:rsidR="0035211D">
        <w:rPr>
          <w:rFonts w:eastAsia="Times New Roman" w:cs="Courier"/>
          <w:szCs w:val="26"/>
        </w:rPr>
        <w:t>, Sport Management</w:t>
      </w:r>
      <w:r w:rsidR="00D00F41">
        <w:rPr>
          <w:rFonts w:eastAsia="Times New Roman" w:cs="Courier"/>
          <w:szCs w:val="26"/>
        </w:rPr>
        <w:t xml:space="preserve"> Program </w:t>
      </w:r>
      <w:r w:rsidRPr="00C7428D">
        <w:t xml:space="preserve">in </w:t>
      </w:r>
      <w:r w:rsidR="00D00F41">
        <w:t>May 2014</w:t>
      </w:r>
      <w:r w:rsidR="002577B9">
        <w:t>.</w:t>
      </w:r>
      <w:r w:rsidR="00E05CAE">
        <w:t xml:space="preserve">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4D5B49">
        <w:t>(June 2010</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37B84CA9" w14:textId="77777777" w:rsidR="00CF702C" w:rsidRDefault="00CF702C" w:rsidP="00C7428D"/>
    <w:p w14:paraId="3461C87C"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4D5B49">
        <w:rPr>
          <w:rFonts w:asciiTheme="minorHAnsi" w:hAnsiTheme="minorHAnsi"/>
          <w:sz w:val="24"/>
        </w:rPr>
        <w:t>May 28</w:t>
      </w:r>
      <w:r>
        <w:rPr>
          <w:rFonts w:asciiTheme="minorHAnsi" w:hAnsiTheme="minorHAnsi"/>
          <w:sz w:val="24"/>
        </w:rPr>
        <w:t>,</w:t>
      </w:r>
      <w:r w:rsidR="004D5B49">
        <w:rPr>
          <w:rFonts w:asciiTheme="minorHAnsi" w:hAnsiTheme="minorHAnsi"/>
          <w:sz w:val="24"/>
        </w:rPr>
        <w:t xml:space="preserve"> 2014,</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4D5B49">
        <w:rPr>
          <w:rFonts w:asciiTheme="minorHAnsi" w:hAnsiTheme="minorHAnsi"/>
          <w:sz w:val="24"/>
        </w:rPr>
        <w:t xml:space="preserve">Bowling Green </w:t>
      </w:r>
      <w:r w:rsidR="00145D73" w:rsidRPr="00145D73">
        <w:rPr>
          <w:rFonts w:asciiTheme="minorHAnsi" w:hAnsiTheme="minorHAnsi"/>
          <w:sz w:val="24"/>
        </w:rPr>
        <w:t xml:space="preserve">State University </w:t>
      </w:r>
      <w:r w:rsidRPr="00145D73">
        <w:rPr>
          <w:rFonts w:asciiTheme="minorHAnsi" w:hAnsiTheme="minorHAnsi"/>
          <w:sz w:val="24"/>
        </w:rPr>
        <w:t>demonstrated that it meets these principles, that its</w:t>
      </w:r>
      <w:r w:rsidRPr="00B60A40">
        <w:rPr>
          <w:rFonts w:asciiTheme="minorHAnsi" w:hAnsiTheme="minorHAnsi"/>
          <w:sz w:val="24"/>
        </w:rPr>
        <w:t xml:space="preserve"> </w:t>
      </w:r>
      <w:r>
        <w:rPr>
          <w:rFonts w:asciiTheme="minorHAnsi" w:hAnsiTheme="minorHAnsi"/>
          <w:sz w:val="24"/>
        </w:rPr>
        <w:t>program</w:t>
      </w:r>
      <w:r w:rsidR="00F16B92">
        <w:rPr>
          <w:rFonts w:asciiTheme="minorHAnsi" w:hAnsiTheme="minorHAnsi"/>
          <w:sz w:val="24"/>
        </w:rPr>
        <w:t>s</w:t>
      </w:r>
      <w:r>
        <w:rPr>
          <w:rFonts w:asciiTheme="minorHAnsi" w:hAnsiTheme="minorHAnsi"/>
          <w:sz w:val="24"/>
        </w:rPr>
        <w:t xml:space="preserve"> </w:t>
      </w:r>
      <w:r w:rsidR="00F16B92">
        <w:rPr>
          <w:rFonts w:asciiTheme="minorHAnsi" w:hAnsiTheme="minorHAnsi"/>
          <w:sz w:val="24"/>
        </w:rPr>
        <w:t>are</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265515C4" w14:textId="77777777" w:rsidR="00D00F41" w:rsidRDefault="00D00F41"/>
    <w:p w14:paraId="2930B614" w14:textId="77777777" w:rsidR="00D00F41" w:rsidRPr="002873DA" w:rsidRDefault="00D00F41" w:rsidP="00D00F41">
      <w:pPr>
        <w:rPr>
          <w:b/>
          <w:u w:val="single"/>
        </w:rPr>
      </w:pPr>
      <w:r w:rsidRPr="002873DA">
        <w:rPr>
          <w:b/>
          <w:u w:val="single"/>
        </w:rPr>
        <w:t>COSMA Accreditation Information</w:t>
      </w:r>
      <w:r>
        <w:rPr>
          <w:b/>
          <w:u w:val="single"/>
        </w:rPr>
        <w:t xml:space="preserve"> – Graduate Program</w:t>
      </w:r>
    </w:p>
    <w:p w14:paraId="4CC5E7BE" w14:textId="77777777" w:rsidR="00D00F41" w:rsidRDefault="00D00F41" w:rsidP="00D00F41"/>
    <w:p w14:paraId="5F5852FE" w14:textId="77777777" w:rsidR="00CC0236" w:rsidRDefault="00CC0236" w:rsidP="00CC0236">
      <w:r w:rsidRPr="00FF11F9">
        <w:rPr>
          <w:b/>
        </w:rPr>
        <w:t>History:</w:t>
      </w:r>
      <w:r>
        <w:tab/>
      </w:r>
      <w:r>
        <w:tab/>
      </w:r>
      <w:r>
        <w:tab/>
      </w:r>
      <w:r w:rsidR="004D5B49">
        <w:t xml:space="preserve">Accreditation Action </w:t>
      </w:r>
      <w:r w:rsidR="004D5B49" w:rsidRPr="00FF11F9">
        <w:t>Deferred</w:t>
      </w:r>
      <w:r w:rsidR="00D00F41">
        <w:t xml:space="preserve"> in May 2014</w:t>
      </w:r>
    </w:p>
    <w:p w14:paraId="5A74B47C" w14:textId="77777777" w:rsidR="00D00F41" w:rsidRPr="00FF11F9" w:rsidRDefault="00CC0236" w:rsidP="00CC0236">
      <w:pPr>
        <w:rPr>
          <w:b/>
        </w:rPr>
      </w:pPr>
      <w:r w:rsidRPr="00FF11F9">
        <w:rPr>
          <w:b/>
        </w:rPr>
        <w:tab/>
      </w:r>
      <w:r w:rsidRPr="00FF11F9">
        <w:rPr>
          <w:b/>
        </w:rPr>
        <w:tab/>
      </w:r>
      <w:r w:rsidRPr="00FF11F9">
        <w:rPr>
          <w:b/>
        </w:rPr>
        <w:tab/>
      </w:r>
      <w:r w:rsidRPr="00FF11F9">
        <w:rPr>
          <w:b/>
        </w:rPr>
        <w:tab/>
        <w:t xml:space="preserve">“Accredited with </w:t>
      </w:r>
      <w:r w:rsidR="00695328" w:rsidRPr="00FF11F9">
        <w:rPr>
          <w:b/>
        </w:rPr>
        <w:t>Observations</w:t>
      </w:r>
      <w:r w:rsidRPr="00FF11F9">
        <w:rPr>
          <w:b/>
        </w:rPr>
        <w:t>” in November 2014</w:t>
      </w:r>
    </w:p>
    <w:p w14:paraId="4A3CED8F" w14:textId="77777777" w:rsidR="004D5B49" w:rsidRDefault="004D5B49"/>
    <w:p w14:paraId="1E727219" w14:textId="12D036E3" w:rsidR="004D5B49" w:rsidRDefault="004D5B49" w:rsidP="004D5B49">
      <w:r>
        <w:lastRenderedPageBreak/>
        <w:t xml:space="preserve">The COSMA Board of Commissioners (BOC) determined that Bowling Green State University did not provide adequate information concerning compliance with Principle 1 and the BOC </w:t>
      </w:r>
      <w:r w:rsidRPr="00630122">
        <w:rPr>
          <w:b/>
        </w:rPr>
        <w:t>defer</w:t>
      </w:r>
      <w:r>
        <w:rPr>
          <w:b/>
        </w:rPr>
        <w:t>red</w:t>
      </w:r>
      <w:r w:rsidRPr="00630122">
        <w:rPr>
          <w:b/>
        </w:rPr>
        <w:t xml:space="preserve"> action</w:t>
      </w:r>
      <w:r>
        <w:t xml:space="preserve"> until a later date. A deferral is, in effect, a ruling of no action on accreditation at that time. </w:t>
      </w:r>
      <w:r>
        <w:rPr>
          <w:color w:val="000000"/>
        </w:rPr>
        <w:t>There are two</w:t>
      </w:r>
      <w:r>
        <w:rPr>
          <w:color w:val="0000FF"/>
        </w:rPr>
        <w:t xml:space="preserve"> </w:t>
      </w:r>
      <w:r>
        <w:rPr>
          <w:color w:val="000000"/>
        </w:rPr>
        <w:t>major reasons for a deferral action</w:t>
      </w:r>
      <w:r>
        <w:t xml:space="preserve">: First, the deficiencies are extensive; and/or </w:t>
      </w:r>
      <w:r w:rsidRPr="006C627B">
        <w:t>second, adequate information concerning compliance with principles was not included in the self-evaluation or self-study document or other related documents. If</w:t>
      </w:r>
      <w:r>
        <w:t>, within three years of the “accreditation deferred” action by</w:t>
      </w:r>
      <w:r w:rsidR="00EB2106">
        <w:t xml:space="preserve"> the Board of Commissioners, a program </w:t>
      </w:r>
      <w:r>
        <w:t xml:space="preserve">corrects the deficiencies that caused the accreditation to be deferred, the </w:t>
      </w:r>
      <w:r w:rsidR="00EB2106">
        <w:t>program</w:t>
      </w:r>
      <w:r>
        <w:t xml:space="preserve"> may write a letter notifying COSMA of the corrective action it has taken. The BOC will validate that the deficiencies have been corrected at their next meeting and the </w:t>
      </w:r>
      <w:r w:rsidR="00EB2106">
        <w:t>program</w:t>
      </w:r>
      <w:r>
        <w:t xml:space="preserve"> will be notified of the action of the BOC.</w:t>
      </w:r>
    </w:p>
    <w:p w14:paraId="278FF92F" w14:textId="77777777" w:rsidR="001C5ACE" w:rsidRDefault="001C5ACE"/>
    <w:p w14:paraId="59573A38"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r w:rsidR="00115E86">
        <w:rPr>
          <w:b/>
          <w:u w:val="single"/>
        </w:rPr>
        <w:t xml:space="preserve"> – Undergraduate Program</w:t>
      </w:r>
    </w:p>
    <w:p w14:paraId="02614E63"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6A08EFD9" w14:textId="781FA0BE" w:rsidR="00DA1CEB" w:rsidRPr="008630DF" w:rsidRDefault="004D5B49"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Bowling Green</w:t>
      </w:r>
      <w:r w:rsidR="00365961" w:rsidRPr="00145D73">
        <w:t xml:space="preserve"> State University</w:t>
      </w:r>
      <w:r w:rsidR="00365961">
        <w:t xml:space="preserve">’s </w:t>
      </w:r>
      <w:r w:rsidR="00365961" w:rsidRPr="000D230D">
        <w:rPr>
          <w:rFonts w:ascii="Cambria" w:eastAsia="Times New Roman" w:hAnsi="Cambria" w:cs="Courier"/>
          <w:szCs w:val="26"/>
        </w:rPr>
        <w:t>Bachelor of Science</w:t>
      </w:r>
      <w:r w:rsidR="00115E86">
        <w:rPr>
          <w:rFonts w:ascii="Cambria" w:eastAsia="Times New Roman" w:hAnsi="Cambria" w:cs="Courier"/>
          <w:szCs w:val="26"/>
        </w:rPr>
        <w:t xml:space="preserve"> in Education</w:t>
      </w:r>
      <w:r w:rsidR="00365961">
        <w:rPr>
          <w:rFonts w:eastAsia="Times New Roman" w:cs="Courier"/>
          <w:szCs w:val="26"/>
        </w:rPr>
        <w:t>, Sport Management</w:t>
      </w:r>
      <w:r w:rsidR="00115E86">
        <w:rPr>
          <w:rFonts w:eastAsia="Times New Roman" w:cs="Courier"/>
          <w:szCs w:val="26"/>
        </w:rPr>
        <w:t xml:space="preserve"> Program degree is </w:t>
      </w:r>
      <w:r w:rsidR="003E67DD">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3E67DD">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EB2106">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EB2106">
        <w:rPr>
          <w:rFonts w:ascii="Cambria" w:eastAsia="Times New Roman" w:hAnsi="Cambria" w:cs="Times New Roman"/>
          <w:szCs w:val="22"/>
        </w:rPr>
        <w:t>program</w:t>
      </w:r>
      <w:proofErr w:type="gramEnd"/>
      <w:r w:rsidR="00DA1CEB">
        <w:rPr>
          <w:rFonts w:eastAsia="Times New Roman"/>
          <w:szCs w:val="22"/>
        </w:rPr>
        <w:t xml:space="preserve"> and accepted by COSMA</w:t>
      </w:r>
      <w:r w:rsidR="003E67DD">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EB2106">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year period, the BOC may place it on probation</w:t>
      </w:r>
      <w:r w:rsidR="00CF702C">
        <w:rPr>
          <w:rFonts w:ascii="Cambria" w:eastAsia="Times New Roman" w:hAnsi="Cambria" w:cs="Times New Roman"/>
          <w:szCs w:val="22"/>
        </w:rPr>
        <w:t xml:space="preserve"> (</w:t>
      </w:r>
      <w:r w:rsidR="00EB2106">
        <w:rPr>
          <w:rFonts w:ascii="Cambria" w:eastAsia="Times New Roman" w:hAnsi="Cambria" w:cs="Times New Roman"/>
          <w:szCs w:val="22"/>
        </w:rPr>
        <w:t>April 2016</w:t>
      </w:r>
      <w:r w:rsidR="00CF702C">
        <w:rPr>
          <w:rFonts w:ascii="Cambria" w:eastAsia="Times New Roman" w:hAnsi="Cambria" w:cs="Times New Roman"/>
          <w:szCs w:val="22"/>
        </w:rPr>
        <w:t xml:space="preserve"> </w:t>
      </w:r>
      <w:r w:rsidR="00CF702C" w:rsidRPr="00CF702C">
        <w:rPr>
          <w:rFonts w:ascii="Cambria" w:eastAsia="Times New Roman" w:hAnsi="Cambria" w:cs="Times New Roman"/>
          <w:i/>
          <w:szCs w:val="22"/>
        </w:rPr>
        <w:t>COSMA Accreditation Process Manual</w:t>
      </w:r>
      <w:r w:rsidR="00EB2106">
        <w:rPr>
          <w:rFonts w:ascii="Cambria" w:eastAsia="Times New Roman" w:hAnsi="Cambria" w:cs="Times New Roman"/>
          <w:szCs w:val="22"/>
        </w:rPr>
        <w:t>, pp. 30-3</w:t>
      </w:r>
      <w:r w:rsidR="00CF702C">
        <w:rPr>
          <w:rFonts w:ascii="Cambria" w:eastAsia="Times New Roman" w:hAnsi="Cambria" w:cs="Times New Roman"/>
          <w:szCs w:val="22"/>
        </w:rPr>
        <w:t>1)</w:t>
      </w:r>
      <w:r w:rsidR="00DA1CEB" w:rsidRPr="008630DF">
        <w:rPr>
          <w:rFonts w:ascii="Cambria" w:eastAsia="Times New Roman" w:hAnsi="Cambria" w:cs="Times New Roman"/>
          <w:szCs w:val="22"/>
        </w:rPr>
        <w:t>.</w:t>
      </w:r>
    </w:p>
    <w:p w14:paraId="73E64766" w14:textId="77777777" w:rsidR="000062B6" w:rsidRDefault="000062B6">
      <w:pPr>
        <w:rPr>
          <w:rFonts w:eastAsia="Times New Roman"/>
          <w:szCs w:val="22"/>
        </w:rPr>
      </w:pPr>
    </w:p>
    <w:p w14:paraId="644E16A7" w14:textId="77777777" w:rsidR="00EA6109" w:rsidRDefault="00F26907">
      <w:pPr>
        <w:rPr>
          <w:rFonts w:eastAsia="Times New Roman"/>
          <w:b/>
          <w:szCs w:val="22"/>
          <w:u w:val="single"/>
        </w:rPr>
      </w:pPr>
      <w:r w:rsidRPr="003E67DD">
        <w:rPr>
          <w:rFonts w:eastAsia="Times New Roman"/>
          <w:b/>
          <w:szCs w:val="22"/>
          <w:u w:val="single"/>
        </w:rPr>
        <w:t>Notes</w:t>
      </w:r>
    </w:p>
    <w:p w14:paraId="22C7F596" w14:textId="77777777" w:rsidR="00DA1CEB" w:rsidRPr="003E67DD" w:rsidRDefault="00DA1CEB">
      <w:pPr>
        <w:rPr>
          <w:rFonts w:eastAsia="Times New Roman"/>
          <w:b/>
          <w:szCs w:val="22"/>
          <w:u w:val="single"/>
        </w:rPr>
      </w:pPr>
    </w:p>
    <w:p w14:paraId="6C254B10" w14:textId="77777777" w:rsidR="00115E86" w:rsidRDefault="00115E86" w:rsidP="00115E86">
      <w:pPr>
        <w:ind w:left="360" w:hanging="360"/>
        <w:outlineLvl w:val="0"/>
        <w:rPr>
          <w:b/>
          <w:bCs/>
        </w:rPr>
      </w:pPr>
      <w:r>
        <w:rPr>
          <w:b/>
          <w:bCs/>
        </w:rPr>
        <w:t>Principle 1: Outcomes Assessment</w:t>
      </w:r>
    </w:p>
    <w:p w14:paraId="6DBDA144" w14:textId="77777777" w:rsidR="00115E86" w:rsidRPr="009E0287" w:rsidRDefault="00115E86" w:rsidP="00115E86">
      <w:pPr>
        <w:contextualSpacing/>
        <w:rPr>
          <w:bCs/>
          <w:szCs w:val="23"/>
        </w:rPr>
      </w:pPr>
      <w:r w:rsidRPr="00303262">
        <w:rPr>
          <w:b/>
          <w:iCs/>
        </w:rPr>
        <w:t>Issue:</w:t>
      </w:r>
      <w:r>
        <w:rPr>
          <w:iCs/>
        </w:rPr>
        <w:t xml:space="preserve"> </w:t>
      </w:r>
      <w:r w:rsidRPr="009E0287">
        <w:rPr>
          <w:iCs/>
        </w:rPr>
        <w:t>Provide a summary of the realized outcomes that result from the execution of the action plans</w:t>
      </w:r>
      <w:r>
        <w:rPr>
          <w:iCs/>
        </w:rPr>
        <w:t>.</w:t>
      </w:r>
    </w:p>
    <w:p w14:paraId="1EE0A2AB" w14:textId="77777777" w:rsidR="00115E86" w:rsidRDefault="00115E86" w:rsidP="00115E86">
      <w:pPr>
        <w:rPr>
          <w:bCs/>
          <w:szCs w:val="32"/>
        </w:rPr>
      </w:pPr>
      <w:r>
        <w:rPr>
          <w:b/>
          <w:bCs/>
          <w:szCs w:val="32"/>
        </w:rPr>
        <w:t>Note 1</w:t>
      </w:r>
      <w:r w:rsidRPr="00303262">
        <w:rPr>
          <w:b/>
          <w:bCs/>
          <w:szCs w:val="32"/>
        </w:rPr>
        <w:t>:</w:t>
      </w:r>
      <w:r w:rsidRPr="00303262">
        <w:rPr>
          <w:bCs/>
          <w:szCs w:val="32"/>
        </w:rPr>
        <w:t xml:space="preserve"> When available, provide the </w:t>
      </w:r>
      <w:r>
        <w:rPr>
          <w:bCs/>
          <w:szCs w:val="32"/>
        </w:rPr>
        <w:t>realized outcomes that result from the execution of the action plans</w:t>
      </w:r>
      <w:r w:rsidRPr="00303262">
        <w:rPr>
          <w:bCs/>
          <w:szCs w:val="32"/>
        </w:rPr>
        <w:t>.</w:t>
      </w:r>
    </w:p>
    <w:p w14:paraId="2ACD426E" w14:textId="77777777" w:rsidR="00115E86" w:rsidRPr="00922BB4" w:rsidRDefault="00922BB4" w:rsidP="00115E86">
      <w:pPr>
        <w:rPr>
          <w:b/>
          <w:bCs/>
          <w:szCs w:val="32"/>
        </w:rPr>
      </w:pPr>
      <w:r w:rsidRPr="00922BB4">
        <w:rPr>
          <w:b/>
          <w:bCs/>
          <w:szCs w:val="32"/>
        </w:rPr>
        <w:t>Outcome: Resolved.</w:t>
      </w:r>
    </w:p>
    <w:p w14:paraId="1F7A344E" w14:textId="77777777" w:rsidR="00922BB4" w:rsidRPr="00E4542C" w:rsidRDefault="00922BB4" w:rsidP="00115E86">
      <w:pPr>
        <w:rPr>
          <w:bCs/>
          <w:szCs w:val="32"/>
        </w:rPr>
      </w:pPr>
    </w:p>
    <w:p w14:paraId="2E354C9C" w14:textId="77777777" w:rsidR="00115E86" w:rsidRPr="00EF03C5" w:rsidRDefault="00115E86" w:rsidP="00115E86">
      <w:pPr>
        <w:rPr>
          <w:bCs/>
          <w:szCs w:val="32"/>
        </w:rPr>
      </w:pPr>
      <w:r w:rsidRPr="00EF03C5">
        <w:rPr>
          <w:b/>
          <w:bCs/>
          <w:szCs w:val="32"/>
        </w:rPr>
        <w:t>Issue:</w:t>
      </w:r>
      <w:r w:rsidRPr="00EF03C5">
        <w:rPr>
          <w:bCs/>
          <w:szCs w:val="32"/>
        </w:rPr>
        <w:t xml:space="preserve"> It is not clear in the rejoinder if the “</w:t>
      </w:r>
      <w:r>
        <w:rPr>
          <w:bCs/>
          <w:szCs w:val="32"/>
        </w:rPr>
        <w:t>Peer A</w:t>
      </w:r>
      <w:r w:rsidRPr="00EF03C5">
        <w:rPr>
          <w:bCs/>
          <w:szCs w:val="32"/>
        </w:rPr>
        <w:t xml:space="preserve">ppraisal” assessment is a separate assessment tool or if peers use the </w:t>
      </w:r>
      <w:r>
        <w:rPr>
          <w:bCs/>
          <w:szCs w:val="32"/>
        </w:rPr>
        <w:t xml:space="preserve">same </w:t>
      </w:r>
      <w:r w:rsidRPr="00EF03C5">
        <w:rPr>
          <w:bCs/>
          <w:szCs w:val="32"/>
        </w:rPr>
        <w:t>“</w:t>
      </w:r>
      <w:r>
        <w:rPr>
          <w:bCs/>
          <w:szCs w:val="32"/>
        </w:rPr>
        <w:t>Elevator P</w:t>
      </w:r>
      <w:r w:rsidRPr="00EF03C5">
        <w:rPr>
          <w:bCs/>
          <w:szCs w:val="32"/>
        </w:rPr>
        <w:t>itch”</w:t>
      </w:r>
      <w:r>
        <w:rPr>
          <w:bCs/>
          <w:szCs w:val="32"/>
        </w:rPr>
        <w:t xml:space="preserve"> rubric as faculty do.</w:t>
      </w:r>
    </w:p>
    <w:p w14:paraId="4DC8BFF5" w14:textId="77777777" w:rsidR="00115E86" w:rsidRPr="00EF03C5" w:rsidRDefault="00115E86" w:rsidP="00115E86">
      <w:pPr>
        <w:rPr>
          <w:b/>
          <w:bCs/>
          <w:szCs w:val="32"/>
        </w:rPr>
      </w:pPr>
      <w:r>
        <w:rPr>
          <w:b/>
          <w:bCs/>
          <w:szCs w:val="32"/>
        </w:rPr>
        <w:t>Note 2</w:t>
      </w:r>
      <w:r w:rsidRPr="00EF03C5">
        <w:rPr>
          <w:b/>
          <w:bCs/>
          <w:szCs w:val="32"/>
        </w:rPr>
        <w:t xml:space="preserve">: </w:t>
      </w:r>
      <w:r w:rsidRPr="00EF03C5">
        <w:rPr>
          <w:bCs/>
          <w:color w:val="000000"/>
          <w:szCs w:val="20"/>
        </w:rPr>
        <w:t>Provide the m</w:t>
      </w:r>
      <w:r w:rsidRPr="00EF03C5">
        <w:rPr>
          <w:color w:val="000000"/>
          <w:szCs w:val="20"/>
        </w:rPr>
        <w:t>easurement tool and/or rubrics for the Peer Appraisal assessment</w:t>
      </w:r>
      <w:r>
        <w:rPr>
          <w:color w:val="000000"/>
          <w:szCs w:val="20"/>
        </w:rPr>
        <w:t xml:space="preserve"> or clarify if the “Elevator Pitch” rubric is used both by the instructor and by peers.</w:t>
      </w:r>
    </w:p>
    <w:p w14:paraId="2978F831" w14:textId="77777777" w:rsidR="00115E86" w:rsidRDefault="00922BB4" w:rsidP="00115E86">
      <w:pPr>
        <w:rPr>
          <w:b/>
          <w:bCs/>
          <w:szCs w:val="32"/>
        </w:rPr>
      </w:pPr>
      <w:r>
        <w:rPr>
          <w:b/>
          <w:bCs/>
          <w:szCs w:val="32"/>
        </w:rPr>
        <w:t>Outcome: Resolved.</w:t>
      </w:r>
    </w:p>
    <w:p w14:paraId="20D62FA4" w14:textId="77777777" w:rsidR="00922BB4" w:rsidRDefault="00922BB4" w:rsidP="00115E86">
      <w:pPr>
        <w:rPr>
          <w:b/>
          <w:bCs/>
          <w:szCs w:val="32"/>
        </w:rPr>
      </w:pPr>
    </w:p>
    <w:p w14:paraId="53EE7720" w14:textId="77777777" w:rsidR="00115E86" w:rsidRPr="0078198F" w:rsidRDefault="00115E86" w:rsidP="00115E86">
      <w:pPr>
        <w:outlineLvl w:val="0"/>
        <w:rPr>
          <w:szCs w:val="32"/>
        </w:rPr>
      </w:pPr>
      <w:r w:rsidRPr="0078198F">
        <w:rPr>
          <w:b/>
          <w:bCs/>
          <w:szCs w:val="32"/>
        </w:rPr>
        <w:t>Principle 3:  Curriculum</w:t>
      </w:r>
    </w:p>
    <w:p w14:paraId="7E5CEA93" w14:textId="77777777" w:rsidR="00115E86" w:rsidRPr="00295719" w:rsidRDefault="00115E86" w:rsidP="00115E86">
      <w:pPr>
        <w:rPr>
          <w:bCs/>
          <w:szCs w:val="23"/>
        </w:rPr>
      </w:pPr>
      <w:r>
        <w:rPr>
          <w:b/>
          <w:bCs/>
          <w:szCs w:val="23"/>
        </w:rPr>
        <w:t xml:space="preserve">Issue: </w:t>
      </w:r>
      <w:r>
        <w:rPr>
          <w:bCs/>
          <w:szCs w:val="23"/>
        </w:rPr>
        <w:t xml:space="preserve">Submit </w:t>
      </w:r>
      <w:proofErr w:type="gramStart"/>
      <w:r>
        <w:rPr>
          <w:bCs/>
          <w:szCs w:val="23"/>
        </w:rPr>
        <w:t>newly-calculated</w:t>
      </w:r>
      <w:proofErr w:type="gramEnd"/>
      <w:r>
        <w:rPr>
          <w:bCs/>
          <w:szCs w:val="23"/>
        </w:rPr>
        <w:t xml:space="preserve"> Abbreviated Course Syllabi for all courses in the sport management core that reflect appropriate allocation of hours in the CPC areas. Submit a new CPC table based on the </w:t>
      </w:r>
      <w:r w:rsidRPr="00295719">
        <w:rPr>
          <w:bCs/>
          <w:szCs w:val="23"/>
        </w:rPr>
        <w:t>abbreviated syllabi.</w:t>
      </w:r>
    </w:p>
    <w:p w14:paraId="4DA01571" w14:textId="77777777" w:rsidR="00115E86" w:rsidRPr="00115E86" w:rsidRDefault="00115E86" w:rsidP="00115E86">
      <w:pPr>
        <w:pStyle w:val="BodyTextIndent"/>
        <w:spacing w:after="0"/>
        <w:ind w:left="0"/>
        <w:rPr>
          <w:bCs/>
        </w:rPr>
      </w:pPr>
      <w:r w:rsidRPr="00115E86">
        <w:rPr>
          <w:b/>
          <w:bCs/>
        </w:rPr>
        <w:t>Note 3</w:t>
      </w:r>
      <w:r w:rsidRPr="00303262">
        <w:rPr>
          <w:bCs/>
        </w:rPr>
        <w:t>:</w:t>
      </w:r>
      <w:r w:rsidRPr="00295719">
        <w:rPr>
          <w:b/>
          <w:bCs/>
        </w:rPr>
        <w:t xml:space="preserve"> </w:t>
      </w:r>
      <w:r w:rsidRPr="00115E86">
        <w:rPr>
          <w:bCs/>
        </w:rPr>
        <w:t xml:space="preserve">While the response provided </w:t>
      </w:r>
      <w:proofErr w:type="gramStart"/>
      <w:r w:rsidRPr="00115E86">
        <w:rPr>
          <w:color w:val="000000"/>
          <w:szCs w:val="20"/>
        </w:rPr>
        <w:t>newly-calculated</w:t>
      </w:r>
      <w:proofErr w:type="gramEnd"/>
      <w:r w:rsidRPr="00115E86">
        <w:rPr>
          <w:color w:val="000000"/>
          <w:szCs w:val="20"/>
        </w:rPr>
        <w:t xml:space="preserve"> Abbreviated Course Syllabi for all courses in the sport management core and reflect appropriate allocation of hours in the CPC areas, the data in the table are inconsistent with data in the syllabi (e.g., SM 3050; 3650; 3900; 4500). The class numbers are confusing on several syllabi and/or on the Appendix D cover page: 1) 4870 is listed as “Legal Aspects” but as “Internship” on the syllabus 2) 3870 is listed as “Practicum” on the cover page but as “Internship” on the syllabus. Clarify these issues in your response.</w:t>
      </w:r>
    </w:p>
    <w:p w14:paraId="11637CA0" w14:textId="77777777" w:rsidR="00115E86" w:rsidRPr="00922BB4" w:rsidRDefault="00922BB4" w:rsidP="00115E86">
      <w:pPr>
        <w:rPr>
          <w:rFonts w:eastAsia="Times New Roman"/>
          <w:b/>
          <w:szCs w:val="22"/>
        </w:rPr>
      </w:pPr>
      <w:r w:rsidRPr="00922BB4">
        <w:rPr>
          <w:rFonts w:eastAsia="Times New Roman"/>
          <w:b/>
          <w:szCs w:val="22"/>
        </w:rPr>
        <w:t>Outcome: Resolved.</w:t>
      </w:r>
    </w:p>
    <w:p w14:paraId="30B0C12B" w14:textId="77777777" w:rsidR="00922BB4" w:rsidRDefault="00922BB4" w:rsidP="00115E86">
      <w:pPr>
        <w:rPr>
          <w:rFonts w:eastAsia="Times New Roman"/>
          <w:szCs w:val="22"/>
        </w:rPr>
      </w:pPr>
    </w:p>
    <w:p w14:paraId="07EF6D8F" w14:textId="77777777" w:rsidR="00115E86" w:rsidRDefault="00115E86" w:rsidP="00115E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r>
        <w:rPr>
          <w:b/>
          <w:u w:val="single"/>
        </w:rPr>
        <w:t xml:space="preserve"> –</w:t>
      </w:r>
      <w:r w:rsidR="00B756E7">
        <w:rPr>
          <w:b/>
          <w:u w:val="single"/>
        </w:rPr>
        <w:t xml:space="preserve"> G</w:t>
      </w:r>
      <w:r>
        <w:rPr>
          <w:b/>
          <w:u w:val="single"/>
        </w:rPr>
        <w:t>raduate Program</w:t>
      </w:r>
    </w:p>
    <w:p w14:paraId="074ABFC0" w14:textId="2BEB8DFD" w:rsidR="00B756E7" w:rsidRDefault="00B756E7" w:rsidP="00B756E7">
      <w:r w:rsidRPr="008F3A66">
        <w:t>According to COSMA</w:t>
      </w:r>
      <w:r>
        <w:t>’s</w:t>
      </w:r>
      <w:r w:rsidRPr="008F3A66">
        <w:t xml:space="preserve"> </w:t>
      </w:r>
      <w:r w:rsidRPr="008F3A66">
        <w:rPr>
          <w:i/>
        </w:rPr>
        <w:t>Accreditation Process Manual</w:t>
      </w:r>
      <w:r w:rsidRPr="008F3A66">
        <w:t xml:space="preserve">, </w:t>
      </w:r>
      <w:r>
        <w:t xml:space="preserve">when an institution that is a Candidate for Accreditation is found to be in noncompliance with a number of the COSMA principles, the Board of Commissioners may defer action until a later date (usually within three years) pending remedial action and/or receipt of additional information. The reasons for the deferral will be stated in writing by the BOC, along with an invitation to respond. The </w:t>
      </w:r>
      <w:r w:rsidR="00EB2106">
        <w:t>program</w:t>
      </w:r>
      <w:r>
        <w:t xml:space="preserve"> will continue to hold the status of Candidate for Accreditation. A deferral is, in effect, a ruling of no action</w:t>
      </w:r>
      <w:r w:rsidR="006C627B">
        <w:t xml:space="preserve"> on accreditation at that time.</w:t>
      </w:r>
    </w:p>
    <w:p w14:paraId="59AAD016" w14:textId="77777777" w:rsidR="00B756E7" w:rsidRDefault="00B756E7" w:rsidP="00115E86">
      <w:pPr>
        <w:rPr>
          <w:rFonts w:eastAsia="Times New Roman"/>
          <w:szCs w:val="22"/>
        </w:rPr>
      </w:pPr>
    </w:p>
    <w:p w14:paraId="08FDC3B2" w14:textId="77777777" w:rsidR="00B756E7" w:rsidRPr="006C627B" w:rsidRDefault="00B756E7" w:rsidP="00B756E7">
      <w:pPr>
        <w:pStyle w:val="NoSpacing"/>
        <w:tabs>
          <w:tab w:val="left" w:pos="2612"/>
        </w:tabs>
        <w:spacing w:line="240" w:lineRule="auto"/>
        <w:outlineLvl w:val="0"/>
        <w:rPr>
          <w:rFonts w:asciiTheme="minorHAnsi" w:hAnsiTheme="minorHAnsi"/>
          <w:b/>
          <w:bCs/>
          <w:sz w:val="24"/>
          <w:szCs w:val="24"/>
        </w:rPr>
      </w:pPr>
      <w:r w:rsidRPr="006C627B">
        <w:rPr>
          <w:rFonts w:asciiTheme="minorHAnsi" w:hAnsiTheme="minorHAnsi"/>
          <w:b/>
          <w:bCs/>
          <w:sz w:val="24"/>
          <w:szCs w:val="24"/>
        </w:rPr>
        <w:t>Principle 1:  Outcomes Assessment</w:t>
      </w:r>
    </w:p>
    <w:p w14:paraId="0A494621" w14:textId="77777777" w:rsidR="00B756E7" w:rsidRPr="006C627B" w:rsidRDefault="00B756E7" w:rsidP="00B756E7">
      <w:pPr>
        <w:contextualSpacing/>
        <w:rPr>
          <w:bCs/>
          <w:szCs w:val="23"/>
        </w:rPr>
      </w:pPr>
      <w:r w:rsidRPr="004C2DF7">
        <w:rPr>
          <w:b/>
          <w:bCs/>
          <w:szCs w:val="23"/>
        </w:rPr>
        <w:t>Issue:</w:t>
      </w:r>
      <w:r>
        <w:rPr>
          <w:bCs/>
          <w:szCs w:val="23"/>
        </w:rPr>
        <w:t xml:space="preserve"> The Board of Commissioners had difficulty determining whether the graduate degree’s Outcomes Assessment plan is in compliance with Principle 1: Outcomes Assessment. Due to the importance of this principle as the cornerstone of the COSMA accreditation process the BOC decided to defer action on making an accreditation decision for the graduate program </w:t>
      </w:r>
      <w:r w:rsidRPr="006C627B">
        <w:rPr>
          <w:bCs/>
          <w:szCs w:val="23"/>
        </w:rPr>
        <w:t>until all the information is provided in the mandatory template:</w:t>
      </w:r>
    </w:p>
    <w:p w14:paraId="381417E3" w14:textId="77777777" w:rsidR="00B756E7" w:rsidRDefault="00B756E7" w:rsidP="00B756E7">
      <w:pPr>
        <w:ind w:left="1440" w:right="2772"/>
        <w:contextualSpacing/>
        <w:rPr>
          <w:color w:val="000000"/>
        </w:rPr>
      </w:pPr>
    </w:p>
    <w:p w14:paraId="75E52645" w14:textId="77777777" w:rsidR="00B756E7" w:rsidRDefault="00B756E7" w:rsidP="00B756E7">
      <w:pPr>
        <w:tabs>
          <w:tab w:val="left" w:pos="8550"/>
        </w:tabs>
        <w:ind w:left="720" w:right="720"/>
        <w:contextualSpacing/>
        <w:rPr>
          <w:bCs/>
          <w:szCs w:val="23"/>
        </w:rPr>
      </w:pPr>
      <w:r>
        <w:rPr>
          <w:color w:val="000000"/>
        </w:rPr>
        <w:t xml:space="preserve">The most important principle relates to the outcomes assessment process, through which the academic unit/sport management program demonstrates that it is substantially accomplishing its mission and stated goals (COSMA </w:t>
      </w:r>
      <w:r w:rsidRPr="004C2DF7">
        <w:rPr>
          <w:i/>
          <w:color w:val="000000"/>
        </w:rPr>
        <w:t>Accreditation Principles and Self Study Preparation</w:t>
      </w:r>
      <w:r>
        <w:rPr>
          <w:i/>
          <w:color w:val="000000"/>
        </w:rPr>
        <w:t xml:space="preserve"> Manual</w:t>
      </w:r>
      <w:r>
        <w:rPr>
          <w:color w:val="000000"/>
        </w:rPr>
        <w:t>, June 2010, page 4).</w:t>
      </w:r>
    </w:p>
    <w:p w14:paraId="72FA17DB" w14:textId="77777777" w:rsidR="00B756E7" w:rsidRDefault="00B756E7" w:rsidP="00115E86">
      <w:pPr>
        <w:rPr>
          <w:rFonts w:eastAsia="Times New Roman"/>
          <w:szCs w:val="22"/>
        </w:rPr>
      </w:pPr>
    </w:p>
    <w:p w14:paraId="7F7210E2" w14:textId="77777777" w:rsidR="00B756E7" w:rsidRDefault="00B756E7" w:rsidP="00B756E7">
      <w:pPr>
        <w:contextualSpacing/>
        <w:outlineLvl w:val="0"/>
        <w:rPr>
          <w:b/>
          <w:bCs/>
          <w:szCs w:val="23"/>
        </w:rPr>
      </w:pPr>
      <w:r>
        <w:rPr>
          <w:b/>
          <w:bCs/>
          <w:szCs w:val="23"/>
        </w:rPr>
        <w:t>Action Items:</w:t>
      </w:r>
    </w:p>
    <w:p w14:paraId="55FEB6B2" w14:textId="77777777" w:rsidR="00B756E7" w:rsidRPr="006C627B" w:rsidRDefault="00B756E7" w:rsidP="00B756E7">
      <w:pPr>
        <w:contextualSpacing/>
        <w:outlineLvl w:val="0"/>
        <w:rPr>
          <w:bCs/>
          <w:szCs w:val="23"/>
        </w:rPr>
      </w:pPr>
      <w:r>
        <w:rPr>
          <w:bCs/>
          <w:szCs w:val="23"/>
        </w:rPr>
        <w:t xml:space="preserve">1) Resubmit a revised Outcomes Assessment </w:t>
      </w:r>
      <w:r w:rsidRPr="006C627B">
        <w:rPr>
          <w:bCs/>
          <w:szCs w:val="23"/>
        </w:rPr>
        <w:t>plan (using the provided, mandatory template) that includes the following:</w:t>
      </w:r>
    </w:p>
    <w:p w14:paraId="27B3A99A" w14:textId="77777777" w:rsidR="00B756E7" w:rsidRDefault="00B756E7" w:rsidP="00B756E7">
      <w:pPr>
        <w:numPr>
          <w:ilvl w:val="1"/>
          <w:numId w:val="2"/>
        </w:numPr>
        <w:ind w:left="1080"/>
        <w:contextualSpacing/>
        <w:rPr>
          <w:bCs/>
          <w:szCs w:val="23"/>
        </w:rPr>
      </w:pPr>
      <w:r>
        <w:rPr>
          <w:bCs/>
          <w:szCs w:val="23"/>
        </w:rPr>
        <w:t>Specific and measurable Student Learning Outcomes that are distinct from the undergraduate degree program SLOs.</w:t>
      </w:r>
    </w:p>
    <w:p w14:paraId="327E31BE" w14:textId="77777777" w:rsidR="00B756E7" w:rsidRDefault="00B756E7" w:rsidP="00B756E7">
      <w:pPr>
        <w:numPr>
          <w:ilvl w:val="1"/>
          <w:numId w:val="2"/>
        </w:numPr>
        <w:ind w:left="1080"/>
        <w:contextualSpacing/>
        <w:rPr>
          <w:bCs/>
          <w:szCs w:val="23"/>
        </w:rPr>
      </w:pPr>
      <w:r>
        <w:rPr>
          <w:bCs/>
          <w:szCs w:val="23"/>
        </w:rPr>
        <w:t xml:space="preserve">Revise student learning outcomes #3 and #4 to reflect </w:t>
      </w:r>
      <w:r w:rsidRPr="002D31F0">
        <w:rPr>
          <w:color w:val="000000"/>
          <w:szCs w:val="20"/>
        </w:rPr>
        <w:t>the level of learning and rigor expected of graduate students</w:t>
      </w:r>
      <w:r>
        <w:rPr>
          <w:bCs/>
          <w:szCs w:val="23"/>
        </w:rPr>
        <w:t>.</w:t>
      </w:r>
    </w:p>
    <w:p w14:paraId="2E4713BA" w14:textId="77777777" w:rsidR="00B756E7" w:rsidRPr="009E0287" w:rsidRDefault="00B756E7" w:rsidP="00B756E7">
      <w:pPr>
        <w:numPr>
          <w:ilvl w:val="1"/>
          <w:numId w:val="2"/>
        </w:numPr>
        <w:ind w:left="1080"/>
        <w:contextualSpacing/>
        <w:rPr>
          <w:bCs/>
          <w:szCs w:val="23"/>
        </w:rPr>
      </w:pPr>
      <w:r w:rsidRPr="009E0287">
        <w:rPr>
          <w:bCs/>
          <w:szCs w:val="23"/>
        </w:rPr>
        <w:t xml:space="preserve">Provide a summary of the changes and improvements </w:t>
      </w:r>
      <w:r w:rsidRPr="009E0287">
        <w:rPr>
          <w:iCs/>
        </w:rPr>
        <w:t xml:space="preserve">that </w:t>
      </w:r>
      <w:r>
        <w:rPr>
          <w:iCs/>
        </w:rPr>
        <w:t>are needed based on the results.</w:t>
      </w:r>
    </w:p>
    <w:p w14:paraId="77CC87E8" w14:textId="77777777" w:rsidR="00B756E7" w:rsidRDefault="00B756E7" w:rsidP="00B756E7">
      <w:pPr>
        <w:numPr>
          <w:ilvl w:val="1"/>
          <w:numId w:val="2"/>
        </w:numPr>
        <w:ind w:left="1080"/>
        <w:contextualSpacing/>
        <w:rPr>
          <w:bCs/>
          <w:szCs w:val="23"/>
        </w:rPr>
      </w:pPr>
      <w:r w:rsidRPr="009E0287">
        <w:rPr>
          <w:iCs/>
        </w:rPr>
        <w:t>Provide a summary of the action plans that are developed to implement the identified changes and improvements</w:t>
      </w:r>
      <w:r>
        <w:rPr>
          <w:iCs/>
        </w:rPr>
        <w:t>.</w:t>
      </w:r>
    </w:p>
    <w:p w14:paraId="7C86B81A" w14:textId="77777777" w:rsidR="00695328" w:rsidRPr="00695328" w:rsidRDefault="00B756E7" w:rsidP="00B756E7">
      <w:pPr>
        <w:numPr>
          <w:ilvl w:val="1"/>
          <w:numId w:val="2"/>
        </w:numPr>
        <w:ind w:left="1080"/>
        <w:contextualSpacing/>
        <w:rPr>
          <w:bCs/>
          <w:szCs w:val="23"/>
        </w:rPr>
      </w:pPr>
      <w:r w:rsidRPr="009E0287">
        <w:rPr>
          <w:iCs/>
        </w:rPr>
        <w:t>Provide a summary of the realized outcomes that result from the execution of the action plans</w:t>
      </w:r>
      <w:r>
        <w:rPr>
          <w:iCs/>
        </w:rPr>
        <w:t>.</w:t>
      </w:r>
    </w:p>
    <w:p w14:paraId="5751C224" w14:textId="77777777" w:rsidR="00695328" w:rsidRPr="00695328" w:rsidRDefault="00695328" w:rsidP="00695328">
      <w:pPr>
        <w:contextualSpacing/>
        <w:rPr>
          <w:b/>
          <w:iCs/>
        </w:rPr>
      </w:pPr>
      <w:r w:rsidRPr="00695328">
        <w:rPr>
          <w:b/>
          <w:iCs/>
        </w:rPr>
        <w:t>Outcome: Resolved.</w:t>
      </w:r>
    </w:p>
    <w:p w14:paraId="7691D34A" w14:textId="77777777" w:rsidR="00B756E7" w:rsidRPr="009E0287" w:rsidRDefault="00B756E7" w:rsidP="00695328">
      <w:pPr>
        <w:contextualSpacing/>
        <w:rPr>
          <w:bCs/>
          <w:szCs w:val="23"/>
        </w:rPr>
      </w:pPr>
    </w:p>
    <w:p w14:paraId="5363B385" w14:textId="77777777" w:rsidR="00B756E7" w:rsidRPr="006C627B" w:rsidRDefault="00B756E7" w:rsidP="00B756E7">
      <w:pPr>
        <w:contextualSpacing/>
        <w:outlineLvl w:val="0"/>
        <w:rPr>
          <w:bCs/>
          <w:szCs w:val="23"/>
        </w:rPr>
      </w:pPr>
      <w:r w:rsidRPr="006C627B">
        <w:rPr>
          <w:bCs/>
          <w:szCs w:val="23"/>
        </w:rPr>
        <w:t>2) Operational Goals and Measures: None of the following were found in the materials submitted in the rejoinder.</w:t>
      </w:r>
    </w:p>
    <w:p w14:paraId="32EAD60D" w14:textId="77777777" w:rsidR="00B756E7" w:rsidRDefault="00B756E7" w:rsidP="00B756E7">
      <w:pPr>
        <w:numPr>
          <w:ilvl w:val="0"/>
          <w:numId w:val="3"/>
        </w:numPr>
        <w:ind w:left="1080"/>
        <w:contextualSpacing/>
        <w:rPr>
          <w:bCs/>
          <w:szCs w:val="23"/>
        </w:rPr>
      </w:pPr>
      <w:r>
        <w:rPr>
          <w:bCs/>
          <w:szCs w:val="23"/>
        </w:rPr>
        <w:t>Revise operational effectiveness measures to include only those that can measure the operational goals.</w:t>
      </w:r>
    </w:p>
    <w:p w14:paraId="7622774D" w14:textId="77777777" w:rsidR="00B756E7" w:rsidRDefault="00B756E7" w:rsidP="00B756E7">
      <w:pPr>
        <w:numPr>
          <w:ilvl w:val="0"/>
          <w:numId w:val="3"/>
        </w:numPr>
        <w:ind w:left="1080"/>
        <w:contextualSpacing/>
        <w:rPr>
          <w:bCs/>
          <w:szCs w:val="23"/>
        </w:rPr>
      </w:pPr>
      <w:r>
        <w:rPr>
          <w:bCs/>
          <w:szCs w:val="23"/>
        </w:rPr>
        <w:t>Establish benchmarks for each operational effectiveness measure.</w:t>
      </w:r>
    </w:p>
    <w:p w14:paraId="2347C939" w14:textId="77777777" w:rsidR="00B756E7" w:rsidRDefault="00B756E7" w:rsidP="00B756E7">
      <w:pPr>
        <w:numPr>
          <w:ilvl w:val="0"/>
          <w:numId w:val="3"/>
        </w:numPr>
        <w:ind w:left="1080"/>
        <w:contextualSpacing/>
        <w:rPr>
          <w:bCs/>
          <w:szCs w:val="23"/>
        </w:rPr>
      </w:pPr>
      <w:r>
        <w:rPr>
          <w:bCs/>
          <w:szCs w:val="23"/>
        </w:rPr>
        <w:t>Provide collected data for each operational measurement tool.</w:t>
      </w:r>
    </w:p>
    <w:p w14:paraId="13FF5A1D" w14:textId="77777777" w:rsidR="00B756E7" w:rsidRPr="005A0081" w:rsidRDefault="00B756E7" w:rsidP="00B756E7">
      <w:pPr>
        <w:numPr>
          <w:ilvl w:val="0"/>
          <w:numId w:val="3"/>
        </w:numPr>
        <w:ind w:left="1080"/>
        <w:contextualSpacing/>
        <w:rPr>
          <w:bCs/>
          <w:szCs w:val="23"/>
        </w:rPr>
      </w:pPr>
      <w:r>
        <w:rPr>
          <w:bCs/>
          <w:szCs w:val="23"/>
        </w:rPr>
        <w:t>Indicate whether the benchmark has not been met, met, or exceeded.</w:t>
      </w:r>
    </w:p>
    <w:p w14:paraId="4630CC2C" w14:textId="77777777" w:rsidR="00B756E7" w:rsidRPr="009E0287" w:rsidRDefault="00B756E7" w:rsidP="00B756E7">
      <w:pPr>
        <w:numPr>
          <w:ilvl w:val="0"/>
          <w:numId w:val="3"/>
        </w:numPr>
        <w:ind w:left="1080"/>
        <w:contextualSpacing/>
        <w:rPr>
          <w:bCs/>
          <w:szCs w:val="23"/>
        </w:rPr>
      </w:pPr>
      <w:r w:rsidRPr="009E0287">
        <w:rPr>
          <w:bCs/>
          <w:szCs w:val="23"/>
        </w:rPr>
        <w:t xml:space="preserve">Provide a summary of the changes and improvements </w:t>
      </w:r>
      <w:r w:rsidRPr="009E0287">
        <w:rPr>
          <w:iCs/>
        </w:rPr>
        <w:t xml:space="preserve">that </w:t>
      </w:r>
      <w:r>
        <w:rPr>
          <w:iCs/>
        </w:rPr>
        <w:t>are needed based on the results.</w:t>
      </w:r>
    </w:p>
    <w:p w14:paraId="59159251" w14:textId="77777777" w:rsidR="00B756E7" w:rsidRDefault="00B756E7" w:rsidP="00B756E7">
      <w:pPr>
        <w:numPr>
          <w:ilvl w:val="0"/>
          <w:numId w:val="3"/>
        </w:numPr>
        <w:ind w:left="1080"/>
        <w:contextualSpacing/>
        <w:rPr>
          <w:bCs/>
          <w:szCs w:val="23"/>
        </w:rPr>
      </w:pPr>
      <w:r w:rsidRPr="009E0287">
        <w:rPr>
          <w:iCs/>
        </w:rPr>
        <w:t>Provide a summary of the action plans that are developed to implement the identified changes and improvements</w:t>
      </w:r>
      <w:r>
        <w:rPr>
          <w:iCs/>
        </w:rPr>
        <w:t>.</w:t>
      </w:r>
    </w:p>
    <w:p w14:paraId="2B9B2191" w14:textId="77777777" w:rsidR="00B756E7" w:rsidRPr="00B756E7" w:rsidRDefault="00B756E7" w:rsidP="00115E86">
      <w:pPr>
        <w:numPr>
          <w:ilvl w:val="0"/>
          <w:numId w:val="3"/>
        </w:numPr>
        <w:ind w:left="1080"/>
        <w:contextualSpacing/>
        <w:rPr>
          <w:bCs/>
          <w:szCs w:val="23"/>
        </w:rPr>
      </w:pPr>
      <w:r w:rsidRPr="009E0287">
        <w:rPr>
          <w:iCs/>
        </w:rPr>
        <w:t>Provide a summary of the realized outcomes that result from the execution of the action plans</w:t>
      </w:r>
      <w:r>
        <w:rPr>
          <w:iCs/>
        </w:rPr>
        <w:t>.</w:t>
      </w:r>
    </w:p>
    <w:p w14:paraId="6788165D" w14:textId="3F9696BC" w:rsidR="002873DA" w:rsidRPr="001D74D0" w:rsidRDefault="00695328">
      <w:pPr>
        <w:rPr>
          <w:rFonts w:eastAsia="Times New Roman"/>
          <w:b/>
          <w:szCs w:val="22"/>
        </w:rPr>
      </w:pPr>
      <w:r w:rsidRPr="00695328">
        <w:rPr>
          <w:rFonts w:eastAsia="Times New Roman"/>
          <w:b/>
          <w:szCs w:val="22"/>
        </w:rPr>
        <w:t>Outcome: Resolved.</w:t>
      </w:r>
      <w:bookmarkStart w:id="0" w:name="_GoBack"/>
      <w:bookmarkEnd w:id="0"/>
    </w:p>
    <w:sectPr w:rsidR="002873DA" w:rsidRPr="001D74D0"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78">
    <w:altName w:val="Times New Roman"/>
    <w:charset w:val="00"/>
    <w:family w:val="auto"/>
    <w:pitch w:val="variable"/>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D1F"/>
    <w:multiLevelType w:val="hybridMultilevel"/>
    <w:tmpl w:val="4D6EF2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9E554B4"/>
    <w:multiLevelType w:val="hybridMultilevel"/>
    <w:tmpl w:val="A61E474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F16ED"/>
    <w:multiLevelType w:val="hybridMultilevel"/>
    <w:tmpl w:val="6AACB4E8"/>
    <w:lvl w:ilvl="0" w:tplc="04090019">
      <w:start w:val="1"/>
      <w:numFmt w:val="lowerLetter"/>
      <w:lvlText w:val="%1."/>
      <w:lvlJc w:val="left"/>
      <w:pPr>
        <w:ind w:left="720" w:hanging="360"/>
      </w:pPr>
    </w:lvl>
    <w:lvl w:ilvl="1" w:tplc="DC30B2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12ECC"/>
    <w:rsid w:val="00034136"/>
    <w:rsid w:val="00081D41"/>
    <w:rsid w:val="00094EA8"/>
    <w:rsid w:val="000D52C5"/>
    <w:rsid w:val="000E131C"/>
    <w:rsid w:val="00115E86"/>
    <w:rsid w:val="00145D73"/>
    <w:rsid w:val="00170128"/>
    <w:rsid w:val="001B3996"/>
    <w:rsid w:val="001C5ACE"/>
    <w:rsid w:val="001D32ED"/>
    <w:rsid w:val="001D74D0"/>
    <w:rsid w:val="00223B79"/>
    <w:rsid w:val="00224493"/>
    <w:rsid w:val="002577B9"/>
    <w:rsid w:val="002873DA"/>
    <w:rsid w:val="003027D8"/>
    <w:rsid w:val="0035211D"/>
    <w:rsid w:val="00365961"/>
    <w:rsid w:val="003D1CAF"/>
    <w:rsid w:val="003D3B7C"/>
    <w:rsid w:val="003E31CF"/>
    <w:rsid w:val="003E67DD"/>
    <w:rsid w:val="00400B79"/>
    <w:rsid w:val="00434519"/>
    <w:rsid w:val="00452CCA"/>
    <w:rsid w:val="004D5B49"/>
    <w:rsid w:val="00513C1D"/>
    <w:rsid w:val="005749D1"/>
    <w:rsid w:val="006259C1"/>
    <w:rsid w:val="00695328"/>
    <w:rsid w:val="006C627B"/>
    <w:rsid w:val="00723F0B"/>
    <w:rsid w:val="007A29C1"/>
    <w:rsid w:val="00837AD6"/>
    <w:rsid w:val="0084330E"/>
    <w:rsid w:val="00843EBD"/>
    <w:rsid w:val="008E2BA7"/>
    <w:rsid w:val="00922BB4"/>
    <w:rsid w:val="00966F1B"/>
    <w:rsid w:val="00A124AA"/>
    <w:rsid w:val="00A56164"/>
    <w:rsid w:val="00AC007C"/>
    <w:rsid w:val="00AE37F8"/>
    <w:rsid w:val="00B60A40"/>
    <w:rsid w:val="00B756E7"/>
    <w:rsid w:val="00B83A56"/>
    <w:rsid w:val="00C353B0"/>
    <w:rsid w:val="00C570D8"/>
    <w:rsid w:val="00C7428D"/>
    <w:rsid w:val="00CC0236"/>
    <w:rsid w:val="00CF702C"/>
    <w:rsid w:val="00D00F41"/>
    <w:rsid w:val="00D74F53"/>
    <w:rsid w:val="00D95EA7"/>
    <w:rsid w:val="00DA1CEB"/>
    <w:rsid w:val="00DA62AF"/>
    <w:rsid w:val="00E05CAE"/>
    <w:rsid w:val="00EA6109"/>
    <w:rsid w:val="00EB2106"/>
    <w:rsid w:val="00ED788A"/>
    <w:rsid w:val="00EE6227"/>
    <w:rsid w:val="00F11737"/>
    <w:rsid w:val="00F16B92"/>
    <w:rsid w:val="00F26907"/>
    <w:rsid w:val="00F45992"/>
    <w:rsid w:val="00F87053"/>
    <w:rsid w:val="00FC20EB"/>
    <w:rsid w:val="00FF1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5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99" w:qFormat="1"/>
  </w:latentStyles>
  <w:style w:type="paragraph" w:default="1" w:styleId="Normal">
    <w:name w:val="Normal"/>
    <w:qFormat/>
  </w:style>
  <w:style w:type="paragraph" w:styleId="Heading1">
    <w:name w:val="heading 1"/>
    <w:basedOn w:val="Normal"/>
    <w:next w:val="Normal"/>
    <w:link w:val="Heading1Char"/>
    <w:rsid w:val="00EA6109"/>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B08"/>
    <w:rPr>
      <w:rFonts w:ascii="Lucida Grande" w:hAnsi="Lucida Grande"/>
      <w:sz w:val="18"/>
      <w:szCs w:val="18"/>
    </w:rPr>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BodyTextIndent">
    <w:name w:val="Body Text Indent"/>
    <w:basedOn w:val="Normal"/>
    <w:link w:val="BodyTextIndentChar"/>
    <w:rsid w:val="003E67DD"/>
    <w:pPr>
      <w:spacing w:after="120"/>
      <w:ind w:left="360"/>
    </w:pPr>
  </w:style>
  <w:style w:type="character" w:customStyle="1" w:styleId="BodyTextIndentChar">
    <w:name w:val="Body Text Indent Char"/>
    <w:basedOn w:val="DefaultParagraphFont"/>
    <w:link w:val="BodyTextIndent"/>
    <w:rsid w:val="003E67DD"/>
  </w:style>
  <w:style w:type="paragraph" w:styleId="NoSpacing">
    <w:name w:val="No Spacing"/>
    <w:qFormat/>
    <w:rsid w:val="003E67DD"/>
    <w:pPr>
      <w:suppressAutoHyphens/>
      <w:spacing w:line="100" w:lineRule="atLeast"/>
    </w:pPr>
    <w:rPr>
      <w:rFonts w:ascii="Calibri" w:eastAsia="Lucida Sans Unicode" w:hAnsi="Calibri" w:cs="font278"/>
      <w:kern w:val="1"/>
      <w:sz w:val="22"/>
      <w:szCs w:val="22"/>
      <w:lang w:eastAsia="ar-SA"/>
    </w:rPr>
  </w:style>
  <w:style w:type="character" w:customStyle="1" w:styleId="Heading1Char">
    <w:name w:val="Heading 1 Char"/>
    <w:basedOn w:val="DefaultParagraphFont"/>
    <w:link w:val="Heading1"/>
    <w:rsid w:val="00EA6109"/>
    <w:rPr>
      <w:rFonts w:ascii="Calibri" w:eastAsia="Times New Roman"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99" w:qFormat="1"/>
  </w:latentStyles>
  <w:style w:type="paragraph" w:default="1" w:styleId="Normal">
    <w:name w:val="Normal"/>
    <w:qFormat/>
  </w:style>
  <w:style w:type="paragraph" w:styleId="Heading1">
    <w:name w:val="heading 1"/>
    <w:basedOn w:val="Normal"/>
    <w:next w:val="Normal"/>
    <w:link w:val="Heading1Char"/>
    <w:rsid w:val="00EA6109"/>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B08"/>
    <w:rPr>
      <w:rFonts w:ascii="Lucida Grande" w:hAnsi="Lucida Grande"/>
      <w:sz w:val="18"/>
      <w:szCs w:val="18"/>
    </w:rPr>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BodyTextIndent">
    <w:name w:val="Body Text Indent"/>
    <w:basedOn w:val="Normal"/>
    <w:link w:val="BodyTextIndentChar"/>
    <w:rsid w:val="003E67DD"/>
    <w:pPr>
      <w:spacing w:after="120"/>
      <w:ind w:left="360"/>
    </w:pPr>
  </w:style>
  <w:style w:type="character" w:customStyle="1" w:styleId="BodyTextIndentChar">
    <w:name w:val="Body Text Indent Char"/>
    <w:basedOn w:val="DefaultParagraphFont"/>
    <w:link w:val="BodyTextIndent"/>
    <w:rsid w:val="003E67DD"/>
  </w:style>
  <w:style w:type="paragraph" w:styleId="NoSpacing">
    <w:name w:val="No Spacing"/>
    <w:qFormat/>
    <w:rsid w:val="003E67DD"/>
    <w:pPr>
      <w:suppressAutoHyphens/>
      <w:spacing w:line="100" w:lineRule="atLeast"/>
    </w:pPr>
    <w:rPr>
      <w:rFonts w:ascii="Calibri" w:eastAsia="Lucida Sans Unicode" w:hAnsi="Calibri" w:cs="font278"/>
      <w:kern w:val="1"/>
      <w:sz w:val="22"/>
      <w:szCs w:val="22"/>
      <w:lang w:eastAsia="ar-SA"/>
    </w:rPr>
  </w:style>
  <w:style w:type="character" w:customStyle="1" w:styleId="Heading1Char">
    <w:name w:val="Heading 1 Char"/>
    <w:basedOn w:val="DefaultParagraphFont"/>
    <w:link w:val="Heading1"/>
    <w:rsid w:val="00EA6109"/>
    <w:rPr>
      <w:rFonts w:ascii="Calibri" w:eastAsia="Times New Roman"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6515</Characters>
  <Application>Microsoft Macintosh Word</Application>
  <DocSecurity>0</DocSecurity>
  <Lines>54</Lines>
  <Paragraphs>15</Paragraphs>
  <ScaleCrop>false</ScaleCrop>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3</cp:revision>
  <dcterms:created xsi:type="dcterms:W3CDTF">2019-09-16T17:16:00Z</dcterms:created>
  <dcterms:modified xsi:type="dcterms:W3CDTF">2021-09-02T18:53:00Z</dcterms:modified>
</cp:coreProperties>
</file>